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C6626" w14:textId="77777777" w:rsidR="00C26273" w:rsidRDefault="00C26273" w:rsidP="00C26273"/>
    <w:p w14:paraId="05D78D49" w14:textId="77777777" w:rsidR="00C26273" w:rsidRDefault="00C26273" w:rsidP="00C26273"/>
    <w:p w14:paraId="3953D5F4" w14:textId="77777777" w:rsidR="00C26273" w:rsidRDefault="00C26273" w:rsidP="00C26273"/>
    <w:p w14:paraId="6043C077" w14:textId="77777777" w:rsidR="00147743" w:rsidRDefault="00147743" w:rsidP="00147743">
      <w:pPr>
        <w:pStyle w:val="Title"/>
      </w:pPr>
    </w:p>
    <w:p w14:paraId="223B725E" w14:textId="77777777" w:rsidR="003C7E4A" w:rsidRDefault="003C7E4A" w:rsidP="003C7E4A"/>
    <w:p w14:paraId="5D9F5185" w14:textId="77777777" w:rsidR="003C7E4A" w:rsidRDefault="003C7E4A" w:rsidP="003C7E4A"/>
    <w:p w14:paraId="3B6F3EA1" w14:textId="77777777" w:rsidR="003C7E4A" w:rsidRPr="003C7E4A" w:rsidRDefault="003C7E4A" w:rsidP="003C7E4A"/>
    <w:p w14:paraId="35C2808E" w14:textId="0AB6D902" w:rsidR="00C26273" w:rsidRPr="002B4176" w:rsidRDefault="008A2813" w:rsidP="002B4176">
      <w:pPr>
        <w:pStyle w:val="Title"/>
      </w:pPr>
      <w:r w:rsidRPr="007B42B4">
        <w:t>Submission to the Special Parliamentary Committee on Gender Based Violence</w:t>
      </w:r>
    </w:p>
    <w:p w14:paraId="522440FF" w14:textId="77777777" w:rsidR="008A2813" w:rsidRDefault="008A2813" w:rsidP="008A2813">
      <w:pPr>
        <w:spacing w:line="240" w:lineRule="auto"/>
        <w:rPr>
          <w:rFonts w:eastAsiaTheme="minorEastAsia"/>
          <w:spacing w:val="15"/>
          <w:sz w:val="40"/>
          <w:szCs w:val="22"/>
        </w:rPr>
      </w:pPr>
    </w:p>
    <w:p w14:paraId="059A3A37" w14:textId="381BEE6E" w:rsidR="008A2813" w:rsidRPr="008A2813" w:rsidRDefault="008A2813" w:rsidP="008A2813">
      <w:pPr>
        <w:spacing w:line="240" w:lineRule="auto"/>
        <w:rPr>
          <w:rFonts w:eastAsiaTheme="minorEastAsia"/>
          <w:spacing w:val="15"/>
          <w:sz w:val="40"/>
          <w:szCs w:val="22"/>
        </w:rPr>
      </w:pPr>
      <w:r w:rsidRPr="002B1A3B">
        <w:rPr>
          <w:rFonts w:eastAsiaTheme="minorEastAsia"/>
          <w:spacing w:val="15"/>
          <w:sz w:val="40"/>
          <w:szCs w:val="22"/>
        </w:rPr>
        <w:t>Judy Putt, Lindy Kanan</w:t>
      </w:r>
      <w:r w:rsidR="00183F67">
        <w:rPr>
          <w:rFonts w:eastAsiaTheme="minorEastAsia"/>
          <w:spacing w:val="15"/>
          <w:sz w:val="40"/>
          <w:szCs w:val="22"/>
        </w:rPr>
        <w:t>, Sinclair Dinnen</w:t>
      </w:r>
      <w:bookmarkStart w:id="0" w:name="_GoBack"/>
      <w:bookmarkEnd w:id="0"/>
      <w:r w:rsidRPr="00091443">
        <w:rPr>
          <w:rFonts w:eastAsiaTheme="minorEastAsia"/>
          <w:spacing w:val="15"/>
          <w:sz w:val="40"/>
          <w:szCs w:val="22"/>
          <w:highlight w:val="yellow"/>
        </w:rPr>
        <w:t xml:space="preserve"> </w:t>
      </w:r>
    </w:p>
    <w:p w14:paraId="2EDA3E71" w14:textId="77777777" w:rsidR="008A2813" w:rsidRPr="008A2813" w:rsidRDefault="008A2813" w:rsidP="008A2813"/>
    <w:p w14:paraId="51C89080" w14:textId="0388C69E" w:rsidR="00C26273" w:rsidRDefault="00FB37A3" w:rsidP="00C26273">
      <w:r>
        <w:t xml:space="preserve">30 </w:t>
      </w:r>
      <w:r w:rsidR="004D1655">
        <w:t>June 2021</w:t>
      </w:r>
    </w:p>
    <w:p w14:paraId="165C4DDB" w14:textId="77777777" w:rsidR="00C26273" w:rsidRDefault="00C26273" w:rsidP="00C26273">
      <w:r>
        <w:br w:type="page"/>
      </w:r>
    </w:p>
    <w:p w14:paraId="6E237C62" w14:textId="77777777" w:rsidR="00C26273" w:rsidRPr="008F3067" w:rsidRDefault="00C26273" w:rsidP="00C26273">
      <w:pPr>
        <w:spacing w:before="0" w:line="240" w:lineRule="auto"/>
        <w:rPr>
          <w:u w:val="single"/>
        </w:rPr>
      </w:pPr>
      <w:r w:rsidRPr="008F3067">
        <w:rPr>
          <w:noProof/>
          <w:u w:val="single"/>
          <w:lang w:eastAsia="en-AU"/>
        </w:rPr>
        <w:lastRenderedPageBreak/>
        <mc:AlternateContent>
          <mc:Choice Requires="wps">
            <w:drawing>
              <wp:anchor distT="45720" distB="45720" distL="114300" distR="114300" simplePos="0" relativeHeight="251661312" behindDoc="0" locked="0" layoutInCell="1" allowOverlap="1" wp14:anchorId="0AA59CEF" wp14:editId="0E82413D">
                <wp:simplePos x="0" y="0"/>
                <wp:positionH relativeFrom="margin">
                  <wp:posOffset>10160</wp:posOffset>
                </wp:positionH>
                <wp:positionV relativeFrom="margin">
                  <wp:posOffset>5647690</wp:posOffset>
                </wp:positionV>
                <wp:extent cx="5499735" cy="27698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2769870"/>
                        </a:xfrm>
                        <a:prstGeom prst="rect">
                          <a:avLst/>
                        </a:prstGeom>
                        <a:solidFill>
                          <a:srgbClr val="FFFFFF"/>
                        </a:solidFill>
                        <a:ln w="9525">
                          <a:noFill/>
                          <a:miter lim="800000"/>
                          <a:headEnd/>
                          <a:tailEnd/>
                        </a:ln>
                      </wps:spPr>
                      <wps:txbx>
                        <w:txbxContent>
                          <w:p w14:paraId="70C368F1" w14:textId="77777777" w:rsidR="008A2813" w:rsidRDefault="008A2813" w:rsidP="00C26273">
                            <w:pPr>
                              <w:ind w:hanging="142"/>
                            </w:pPr>
                            <w:r>
                              <w:t>Contact: Dr Judy Putt</w:t>
                            </w:r>
                          </w:p>
                          <w:p w14:paraId="67CFF40D" w14:textId="5FAC519A" w:rsidR="00C26273" w:rsidRDefault="00C26273" w:rsidP="00C26273">
                            <w:pPr>
                              <w:ind w:hanging="142"/>
                            </w:pPr>
                            <w:r>
                              <w:t>Department</w:t>
                            </w:r>
                            <w:r w:rsidR="008A2813">
                              <w:t xml:space="preserve"> of Pacific Affairs</w:t>
                            </w:r>
                          </w:p>
                          <w:p w14:paraId="2FD27F8C" w14:textId="5AD225DF" w:rsidR="00C26273" w:rsidRDefault="008A2813" w:rsidP="00C26273">
                            <w:pPr>
                              <w:ind w:hanging="142"/>
                            </w:pPr>
                            <w:r w:rsidRPr="008A2813">
                              <w:t>+61 458 110 092</w:t>
                            </w:r>
                          </w:p>
                          <w:p w14:paraId="3973FC1F" w14:textId="2773505A" w:rsidR="00C26273" w:rsidRPr="004E67DA" w:rsidRDefault="002E5053" w:rsidP="00C26273">
                            <w:pPr>
                              <w:ind w:hanging="142"/>
                            </w:pPr>
                            <w:hyperlink r:id="rId11" w:history="1">
                              <w:r w:rsidR="008A2813" w:rsidRPr="005568FA">
                                <w:rPr>
                                  <w:rStyle w:val="Hyperlink"/>
                                </w:rPr>
                                <w:t>Judy.Putt@anu.edu.au</w:t>
                              </w:r>
                            </w:hyperlink>
                          </w:p>
                          <w:p w14:paraId="319BF812" w14:textId="77777777" w:rsidR="00C26273" w:rsidRDefault="00C26273" w:rsidP="00C26273">
                            <w:pPr>
                              <w:ind w:hanging="142"/>
                            </w:pPr>
                          </w:p>
                          <w:p w14:paraId="478896F7" w14:textId="77777777" w:rsidR="00C26273" w:rsidRDefault="00C26273" w:rsidP="00C26273">
                            <w:pPr>
                              <w:ind w:hanging="142"/>
                            </w:pPr>
                            <w:r>
                              <w:t>The Australian National University</w:t>
                            </w:r>
                          </w:p>
                          <w:p w14:paraId="5E14660F" w14:textId="77777777" w:rsidR="00C26273" w:rsidRDefault="00804B37" w:rsidP="00C26273">
                            <w:pPr>
                              <w:ind w:hanging="142"/>
                            </w:pPr>
                            <w:r>
                              <w:t>Canberra ACT 2600</w:t>
                            </w:r>
                            <w:r w:rsidR="00C26273">
                              <w:t xml:space="preserve"> Australia</w:t>
                            </w:r>
                          </w:p>
                          <w:p w14:paraId="4F9C2F9B" w14:textId="77777777" w:rsidR="00C26273" w:rsidRPr="00BA3757" w:rsidRDefault="002E5053" w:rsidP="00C26273">
                            <w:pPr>
                              <w:ind w:hanging="142"/>
                              <w:rPr>
                                <w:bCs/>
                              </w:rPr>
                            </w:pPr>
                            <w:hyperlink r:id="rId12" w:history="1">
                              <w:r w:rsidR="00C26273" w:rsidRPr="00BA3757">
                                <w:rPr>
                                  <w:rStyle w:val="Hyperlink"/>
                                  <w:bCs/>
                                </w:rPr>
                                <w:t>www.anu.edu.au</w:t>
                              </w:r>
                            </w:hyperlink>
                          </w:p>
                          <w:p w14:paraId="35DB2533" w14:textId="77777777" w:rsidR="00C26273" w:rsidRPr="004E67DA" w:rsidRDefault="00C26273" w:rsidP="00C26273">
                            <w:pPr>
                              <w:ind w:hanging="142"/>
                            </w:pPr>
                          </w:p>
                          <w:p w14:paraId="332EF1D7" w14:textId="77777777" w:rsidR="00C26273" w:rsidRDefault="00C26273" w:rsidP="00C26273">
                            <w:pPr>
                              <w:ind w:hanging="142"/>
                            </w:pPr>
                            <w:r>
                              <w:t>CRICOS Provider No. 00120C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A59CEF" id="_x0000_t202" coordsize="21600,21600" o:spt="202" path="m,l,21600r21600,l21600,xe">
                <v:stroke joinstyle="miter"/>
                <v:path gradientshapeok="t" o:connecttype="rect"/>
              </v:shapetype>
              <v:shape id="Text Box 2" o:spid="_x0000_s1026" type="#_x0000_t202" style="position:absolute;margin-left:.8pt;margin-top:444.7pt;width:433.05pt;height:218.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" stroked="f">
                <v:textbox style="mso-fit-shape-to-text:t">
                  <w:txbxContent>
                    <w:p w14:paraId="70C368F1" w14:textId="77777777" w:rsidR="008A2813" w:rsidRDefault="008A2813" w:rsidP="00C26273">
                      <w:pPr>
                        <w:ind w:hanging="142"/>
                      </w:pPr>
                      <w:r>
                        <w:t>Contact: Dr Judy Putt</w:t>
                      </w:r>
                    </w:p>
                    <w:p w14:paraId="67CFF40D" w14:textId="5FAC519A" w:rsidR="00C26273" w:rsidRDefault="00C26273" w:rsidP="00C26273">
                      <w:pPr>
                        <w:ind w:hanging="142"/>
                      </w:pPr>
                      <w:r>
                        <w:t>Department</w:t>
                      </w:r>
                      <w:r w:rsidR="008A2813">
                        <w:t xml:space="preserve"> of Pacific Affairs</w:t>
                      </w:r>
                    </w:p>
                    <w:p w14:paraId="2FD27F8C" w14:textId="5AD225DF" w:rsidR="00C26273" w:rsidRDefault="008A2813" w:rsidP="00C26273">
                      <w:pPr>
                        <w:ind w:hanging="142"/>
                      </w:pPr>
                      <w:r w:rsidRPr="008A2813">
                        <w:t>+61 458 110 092</w:t>
                      </w:r>
                    </w:p>
                    <w:p w14:paraId="3973FC1F" w14:textId="2773505A" w:rsidR="00C26273" w:rsidRPr="004E67DA" w:rsidRDefault="008A2813" w:rsidP="00C26273">
                      <w:pPr>
                        <w:ind w:hanging="142"/>
                      </w:pPr>
                      <w:hyperlink r:id="rId13" w:history="1">
                        <w:r w:rsidRPr="005568FA">
                          <w:rPr>
                            <w:rStyle w:val="Hyperlink"/>
                          </w:rPr>
                          <w:t>Judy.Putt@anu.edu.au</w:t>
                        </w:r>
                      </w:hyperlink>
                    </w:p>
                    <w:p w14:paraId="319BF812" w14:textId="77777777" w:rsidR="00C26273" w:rsidRDefault="00C26273" w:rsidP="00C26273">
                      <w:pPr>
                        <w:ind w:hanging="142"/>
                      </w:pPr>
                    </w:p>
                    <w:p w14:paraId="478896F7" w14:textId="77777777" w:rsidR="00C26273" w:rsidRDefault="00C26273" w:rsidP="00C26273">
                      <w:pPr>
                        <w:ind w:hanging="142"/>
                      </w:pPr>
                      <w:r>
                        <w:t>The Australian National University</w:t>
                      </w:r>
                    </w:p>
                    <w:p w14:paraId="5E14660F" w14:textId="77777777" w:rsidR="00C26273" w:rsidRDefault="00804B37" w:rsidP="00C26273">
                      <w:pPr>
                        <w:ind w:hanging="142"/>
                      </w:pPr>
                      <w:r>
                        <w:t>Canberra ACT 2600</w:t>
                      </w:r>
                      <w:r w:rsidR="00C26273">
                        <w:t xml:space="preserve"> Australia</w:t>
                      </w:r>
                    </w:p>
                    <w:p w14:paraId="4F9C2F9B" w14:textId="77777777" w:rsidR="00C26273" w:rsidRPr="00BA3757" w:rsidRDefault="00F650AC" w:rsidP="00C26273">
                      <w:pPr>
                        <w:ind w:hanging="142"/>
                        <w:rPr>
                          <w:bCs/>
                        </w:rPr>
                      </w:pPr>
                      <w:hyperlink r:id="rId14" w:history="1">
                        <w:r w:rsidR="00C26273" w:rsidRPr="00BA3757">
                          <w:rPr>
                            <w:rStyle w:val="Hyperlink"/>
                            <w:bCs/>
                          </w:rPr>
                          <w:t>www.anu.edu.au</w:t>
                        </w:r>
                      </w:hyperlink>
                    </w:p>
                    <w:p w14:paraId="35DB2533" w14:textId="77777777" w:rsidR="00C26273" w:rsidRPr="004E67DA" w:rsidRDefault="00C26273" w:rsidP="00C26273">
                      <w:pPr>
                        <w:ind w:hanging="142"/>
                      </w:pPr>
                    </w:p>
                    <w:p w14:paraId="332EF1D7" w14:textId="77777777" w:rsidR="00C26273" w:rsidRDefault="00C26273" w:rsidP="00C26273">
                      <w:pPr>
                        <w:ind w:hanging="142"/>
                      </w:pPr>
                      <w:r>
                        <w:t>CRICOS Provider No. 00120C</w:t>
                      </w:r>
                    </w:p>
                  </w:txbxContent>
                </v:textbox>
                <w10:wrap type="square" anchorx="margin" anchory="margin"/>
              </v:shape>
            </w:pict>
          </mc:Fallback>
        </mc:AlternateContent>
      </w:r>
      <w:r w:rsidRPr="008F3067">
        <w:rPr>
          <w:u w:val="single"/>
        </w:rPr>
        <w:br w:type="page"/>
      </w:r>
    </w:p>
    <w:p w14:paraId="6267B3C9" w14:textId="77777777" w:rsidR="00C26273" w:rsidRDefault="00C26273" w:rsidP="00C26273"/>
    <w:bookmarkStart w:id="1" w:name="_Toc75947098" w:displacedByCustomXml="next"/>
    <w:sdt>
      <w:sdtPr>
        <w:rPr>
          <w:rFonts w:asciiTheme="minorHAnsi" w:eastAsiaTheme="minorHAnsi" w:hAnsiTheme="minorHAnsi" w:cstheme="minorBidi"/>
          <w:b/>
          <w:color w:val="auto"/>
          <w:sz w:val="20"/>
          <w:szCs w:val="20"/>
        </w:rPr>
        <w:id w:val="-1710333489"/>
        <w:docPartObj>
          <w:docPartGallery w:val="Table of Contents"/>
          <w:docPartUnique/>
        </w:docPartObj>
      </w:sdtPr>
      <w:sdtEndPr>
        <w:rPr>
          <w:b w:val="0"/>
          <w:bCs/>
          <w:noProof/>
          <w:szCs w:val="24"/>
        </w:rPr>
      </w:sdtEndPr>
      <w:sdtContent>
        <w:p w14:paraId="3F690D59" w14:textId="77777777" w:rsidR="00C26273" w:rsidRDefault="00C26273" w:rsidP="00C26273">
          <w:pPr>
            <w:pStyle w:val="Heading1"/>
          </w:pPr>
          <w:r>
            <w:t>Contents</w:t>
          </w:r>
          <w:bookmarkEnd w:id="1"/>
        </w:p>
        <w:p w14:paraId="0FD77B1C" w14:textId="3C5832AE" w:rsidR="006C2A3A" w:rsidRDefault="006C2A3A">
          <w:pPr>
            <w:pStyle w:val="TOC1"/>
            <w:tabs>
              <w:tab w:val="right" w:leader="dot" w:pos="8885"/>
            </w:tabs>
            <w:rPr>
              <w:rFonts w:eastAsiaTheme="minorEastAsia"/>
              <w:noProof/>
              <w:lang w:eastAsia="en-GB"/>
            </w:rPr>
          </w:pPr>
          <w:r>
            <w:fldChar w:fldCharType="begin"/>
          </w:r>
          <w:r>
            <w:instrText xml:space="preserve"> TOC \o "1-2" \h \z \u </w:instrText>
          </w:r>
          <w:r>
            <w:fldChar w:fldCharType="separate"/>
          </w:r>
          <w:hyperlink w:anchor="_Toc75947098" w:history="1">
            <w:r w:rsidRPr="00CD2CD0">
              <w:rPr>
                <w:rStyle w:val="Hyperlink"/>
                <w:noProof/>
              </w:rPr>
              <w:t>Contents</w:t>
            </w:r>
            <w:r>
              <w:rPr>
                <w:noProof/>
                <w:webHidden/>
              </w:rPr>
              <w:tab/>
            </w:r>
            <w:r>
              <w:rPr>
                <w:noProof/>
                <w:webHidden/>
              </w:rPr>
              <w:fldChar w:fldCharType="begin"/>
            </w:r>
            <w:r>
              <w:rPr>
                <w:noProof/>
                <w:webHidden/>
              </w:rPr>
              <w:instrText xml:space="preserve"> PAGEREF _Toc75947098 \h </w:instrText>
            </w:r>
            <w:r>
              <w:rPr>
                <w:noProof/>
                <w:webHidden/>
              </w:rPr>
            </w:r>
            <w:r>
              <w:rPr>
                <w:noProof/>
                <w:webHidden/>
              </w:rPr>
              <w:fldChar w:fldCharType="separate"/>
            </w:r>
            <w:r w:rsidR="002F14BC">
              <w:rPr>
                <w:noProof/>
                <w:webHidden/>
              </w:rPr>
              <w:t>3</w:t>
            </w:r>
            <w:r>
              <w:rPr>
                <w:noProof/>
                <w:webHidden/>
              </w:rPr>
              <w:fldChar w:fldCharType="end"/>
            </w:r>
          </w:hyperlink>
        </w:p>
        <w:p w14:paraId="589A9BB1" w14:textId="1E9D23DD" w:rsidR="006C2A3A" w:rsidRDefault="002E5053">
          <w:pPr>
            <w:pStyle w:val="TOC1"/>
            <w:tabs>
              <w:tab w:val="right" w:leader="dot" w:pos="8885"/>
            </w:tabs>
            <w:rPr>
              <w:rFonts w:eastAsiaTheme="minorEastAsia"/>
              <w:noProof/>
              <w:lang w:eastAsia="en-GB"/>
            </w:rPr>
          </w:pPr>
          <w:hyperlink w:anchor="_Toc75947099" w:history="1">
            <w:r w:rsidR="006C2A3A" w:rsidRPr="00CD2CD0">
              <w:rPr>
                <w:rStyle w:val="Hyperlink"/>
                <w:noProof/>
              </w:rPr>
              <w:t>Introduction</w:t>
            </w:r>
            <w:r w:rsidR="006C2A3A">
              <w:rPr>
                <w:noProof/>
                <w:webHidden/>
              </w:rPr>
              <w:tab/>
            </w:r>
            <w:r w:rsidR="006C2A3A">
              <w:rPr>
                <w:noProof/>
                <w:webHidden/>
              </w:rPr>
              <w:fldChar w:fldCharType="begin"/>
            </w:r>
            <w:r w:rsidR="006C2A3A">
              <w:rPr>
                <w:noProof/>
                <w:webHidden/>
              </w:rPr>
              <w:instrText xml:space="preserve"> PAGEREF _Toc75947099 \h </w:instrText>
            </w:r>
            <w:r w:rsidR="006C2A3A">
              <w:rPr>
                <w:noProof/>
                <w:webHidden/>
              </w:rPr>
            </w:r>
            <w:r w:rsidR="006C2A3A">
              <w:rPr>
                <w:noProof/>
                <w:webHidden/>
              </w:rPr>
              <w:fldChar w:fldCharType="separate"/>
            </w:r>
            <w:r w:rsidR="002F14BC">
              <w:rPr>
                <w:noProof/>
                <w:webHidden/>
              </w:rPr>
              <w:t>4</w:t>
            </w:r>
            <w:r w:rsidR="006C2A3A">
              <w:rPr>
                <w:noProof/>
                <w:webHidden/>
              </w:rPr>
              <w:fldChar w:fldCharType="end"/>
            </w:r>
          </w:hyperlink>
        </w:p>
        <w:p w14:paraId="3E53A9D2" w14:textId="0D75A948" w:rsidR="006C2A3A" w:rsidRDefault="002E5053">
          <w:pPr>
            <w:pStyle w:val="TOC1"/>
            <w:tabs>
              <w:tab w:val="right" w:leader="dot" w:pos="8885"/>
            </w:tabs>
            <w:rPr>
              <w:rFonts w:eastAsiaTheme="minorEastAsia"/>
              <w:noProof/>
              <w:lang w:eastAsia="en-GB"/>
            </w:rPr>
          </w:pPr>
          <w:hyperlink w:anchor="_Toc75947100" w:history="1">
            <w:r w:rsidR="006C2A3A" w:rsidRPr="00CD2CD0">
              <w:rPr>
                <w:rStyle w:val="Hyperlink"/>
                <w:noProof/>
              </w:rPr>
              <w:t>Key messages</w:t>
            </w:r>
            <w:r w:rsidR="006C2A3A">
              <w:rPr>
                <w:noProof/>
                <w:webHidden/>
              </w:rPr>
              <w:tab/>
            </w:r>
            <w:r w:rsidR="006C2A3A">
              <w:rPr>
                <w:noProof/>
                <w:webHidden/>
              </w:rPr>
              <w:fldChar w:fldCharType="begin"/>
            </w:r>
            <w:r w:rsidR="006C2A3A">
              <w:rPr>
                <w:noProof/>
                <w:webHidden/>
              </w:rPr>
              <w:instrText xml:space="preserve"> PAGEREF _Toc75947100 \h </w:instrText>
            </w:r>
            <w:r w:rsidR="006C2A3A">
              <w:rPr>
                <w:noProof/>
                <w:webHidden/>
              </w:rPr>
            </w:r>
            <w:r w:rsidR="006C2A3A">
              <w:rPr>
                <w:noProof/>
                <w:webHidden/>
              </w:rPr>
              <w:fldChar w:fldCharType="separate"/>
            </w:r>
            <w:r w:rsidR="002F14BC">
              <w:rPr>
                <w:noProof/>
                <w:webHidden/>
              </w:rPr>
              <w:t>4</w:t>
            </w:r>
            <w:r w:rsidR="006C2A3A">
              <w:rPr>
                <w:noProof/>
                <w:webHidden/>
              </w:rPr>
              <w:fldChar w:fldCharType="end"/>
            </w:r>
          </w:hyperlink>
        </w:p>
        <w:p w14:paraId="2AA6B2EF" w14:textId="75EBFA62" w:rsidR="006C2A3A" w:rsidRDefault="002E5053">
          <w:pPr>
            <w:pStyle w:val="TOC1"/>
            <w:tabs>
              <w:tab w:val="right" w:leader="dot" w:pos="8885"/>
            </w:tabs>
            <w:rPr>
              <w:rFonts w:eastAsiaTheme="minorEastAsia"/>
              <w:noProof/>
              <w:lang w:eastAsia="en-GB"/>
            </w:rPr>
          </w:pPr>
          <w:hyperlink w:anchor="_Toc75947101" w:history="1">
            <w:r w:rsidR="006C2A3A" w:rsidRPr="00CD2CD0">
              <w:rPr>
                <w:rStyle w:val="Hyperlink"/>
                <w:noProof/>
              </w:rPr>
              <w:t>Addressing select Terms of Reference</w:t>
            </w:r>
            <w:r w:rsidR="006C2A3A">
              <w:rPr>
                <w:noProof/>
                <w:webHidden/>
              </w:rPr>
              <w:tab/>
            </w:r>
            <w:r w:rsidR="006C2A3A">
              <w:rPr>
                <w:noProof/>
                <w:webHidden/>
              </w:rPr>
              <w:fldChar w:fldCharType="begin"/>
            </w:r>
            <w:r w:rsidR="006C2A3A">
              <w:rPr>
                <w:noProof/>
                <w:webHidden/>
              </w:rPr>
              <w:instrText xml:space="preserve"> PAGEREF _Toc75947101 \h </w:instrText>
            </w:r>
            <w:r w:rsidR="006C2A3A">
              <w:rPr>
                <w:noProof/>
                <w:webHidden/>
              </w:rPr>
            </w:r>
            <w:r w:rsidR="006C2A3A">
              <w:rPr>
                <w:noProof/>
                <w:webHidden/>
              </w:rPr>
              <w:fldChar w:fldCharType="separate"/>
            </w:r>
            <w:r w:rsidR="002F14BC">
              <w:rPr>
                <w:noProof/>
                <w:webHidden/>
              </w:rPr>
              <w:t>5</w:t>
            </w:r>
            <w:r w:rsidR="006C2A3A">
              <w:rPr>
                <w:noProof/>
                <w:webHidden/>
              </w:rPr>
              <w:fldChar w:fldCharType="end"/>
            </w:r>
          </w:hyperlink>
        </w:p>
        <w:p w14:paraId="582B45E7" w14:textId="78F16986" w:rsidR="006C2A3A" w:rsidRDefault="002E5053">
          <w:pPr>
            <w:pStyle w:val="TOC2"/>
            <w:tabs>
              <w:tab w:val="right" w:leader="dot" w:pos="8885"/>
            </w:tabs>
            <w:rPr>
              <w:rFonts w:eastAsiaTheme="minorEastAsia"/>
              <w:noProof/>
              <w:lang w:eastAsia="en-GB"/>
            </w:rPr>
          </w:pPr>
          <w:hyperlink w:anchor="_Toc75947102" w:history="1">
            <w:r w:rsidR="006C2A3A" w:rsidRPr="00CD2CD0">
              <w:rPr>
                <w:rStyle w:val="Hyperlink"/>
                <w:noProof/>
              </w:rPr>
              <w:t>Term of Reference B</w:t>
            </w:r>
            <w:r w:rsidR="006C2A3A">
              <w:rPr>
                <w:noProof/>
                <w:webHidden/>
              </w:rPr>
              <w:tab/>
            </w:r>
            <w:r w:rsidR="006C2A3A">
              <w:rPr>
                <w:noProof/>
                <w:webHidden/>
              </w:rPr>
              <w:fldChar w:fldCharType="begin"/>
            </w:r>
            <w:r w:rsidR="006C2A3A">
              <w:rPr>
                <w:noProof/>
                <w:webHidden/>
              </w:rPr>
              <w:instrText xml:space="preserve"> PAGEREF _Toc75947102 \h </w:instrText>
            </w:r>
            <w:r w:rsidR="006C2A3A">
              <w:rPr>
                <w:noProof/>
                <w:webHidden/>
              </w:rPr>
            </w:r>
            <w:r w:rsidR="006C2A3A">
              <w:rPr>
                <w:noProof/>
                <w:webHidden/>
              </w:rPr>
              <w:fldChar w:fldCharType="separate"/>
            </w:r>
            <w:r w:rsidR="002F14BC">
              <w:rPr>
                <w:noProof/>
                <w:webHidden/>
              </w:rPr>
              <w:t>5</w:t>
            </w:r>
            <w:r w:rsidR="006C2A3A">
              <w:rPr>
                <w:noProof/>
                <w:webHidden/>
              </w:rPr>
              <w:fldChar w:fldCharType="end"/>
            </w:r>
          </w:hyperlink>
        </w:p>
        <w:p w14:paraId="0F2588E9" w14:textId="606A377C" w:rsidR="006C2A3A" w:rsidRDefault="002E5053">
          <w:pPr>
            <w:pStyle w:val="TOC2"/>
            <w:tabs>
              <w:tab w:val="right" w:leader="dot" w:pos="8885"/>
            </w:tabs>
            <w:rPr>
              <w:rFonts w:eastAsiaTheme="minorEastAsia"/>
              <w:noProof/>
              <w:lang w:eastAsia="en-GB"/>
            </w:rPr>
          </w:pPr>
          <w:hyperlink w:anchor="_Toc75947103" w:history="1">
            <w:r w:rsidR="006C2A3A" w:rsidRPr="00CD2CD0">
              <w:rPr>
                <w:rStyle w:val="Hyperlink"/>
                <w:noProof/>
              </w:rPr>
              <w:t>Term of Reference C</w:t>
            </w:r>
            <w:r w:rsidR="006C2A3A">
              <w:rPr>
                <w:noProof/>
                <w:webHidden/>
              </w:rPr>
              <w:tab/>
            </w:r>
            <w:r w:rsidR="006C2A3A">
              <w:rPr>
                <w:noProof/>
                <w:webHidden/>
              </w:rPr>
              <w:fldChar w:fldCharType="begin"/>
            </w:r>
            <w:r w:rsidR="006C2A3A">
              <w:rPr>
                <w:noProof/>
                <w:webHidden/>
              </w:rPr>
              <w:instrText xml:space="preserve"> PAGEREF _Toc75947103 \h </w:instrText>
            </w:r>
            <w:r w:rsidR="006C2A3A">
              <w:rPr>
                <w:noProof/>
                <w:webHidden/>
              </w:rPr>
            </w:r>
            <w:r w:rsidR="006C2A3A">
              <w:rPr>
                <w:noProof/>
                <w:webHidden/>
              </w:rPr>
              <w:fldChar w:fldCharType="separate"/>
            </w:r>
            <w:r w:rsidR="002F14BC">
              <w:rPr>
                <w:noProof/>
                <w:webHidden/>
              </w:rPr>
              <w:t>7</w:t>
            </w:r>
            <w:r w:rsidR="006C2A3A">
              <w:rPr>
                <w:noProof/>
                <w:webHidden/>
              </w:rPr>
              <w:fldChar w:fldCharType="end"/>
            </w:r>
          </w:hyperlink>
        </w:p>
        <w:p w14:paraId="2E020BE4" w14:textId="65DF68FC" w:rsidR="006C2A3A" w:rsidRDefault="002E5053">
          <w:pPr>
            <w:pStyle w:val="TOC2"/>
            <w:tabs>
              <w:tab w:val="right" w:leader="dot" w:pos="8885"/>
            </w:tabs>
            <w:rPr>
              <w:rFonts w:eastAsiaTheme="minorEastAsia"/>
              <w:noProof/>
              <w:lang w:eastAsia="en-GB"/>
            </w:rPr>
          </w:pPr>
          <w:hyperlink w:anchor="_Toc75947104" w:history="1">
            <w:r w:rsidR="006C2A3A" w:rsidRPr="00CD2CD0">
              <w:rPr>
                <w:rStyle w:val="Hyperlink"/>
                <w:noProof/>
              </w:rPr>
              <w:t>Term of Reference D</w:t>
            </w:r>
            <w:r w:rsidR="006C2A3A">
              <w:rPr>
                <w:noProof/>
                <w:webHidden/>
              </w:rPr>
              <w:tab/>
            </w:r>
            <w:r w:rsidR="006C2A3A">
              <w:rPr>
                <w:noProof/>
                <w:webHidden/>
              </w:rPr>
              <w:fldChar w:fldCharType="begin"/>
            </w:r>
            <w:r w:rsidR="006C2A3A">
              <w:rPr>
                <w:noProof/>
                <w:webHidden/>
              </w:rPr>
              <w:instrText xml:space="preserve"> PAGEREF _Toc75947104 \h </w:instrText>
            </w:r>
            <w:r w:rsidR="006C2A3A">
              <w:rPr>
                <w:noProof/>
                <w:webHidden/>
              </w:rPr>
            </w:r>
            <w:r w:rsidR="006C2A3A">
              <w:rPr>
                <w:noProof/>
                <w:webHidden/>
              </w:rPr>
              <w:fldChar w:fldCharType="separate"/>
            </w:r>
            <w:r w:rsidR="002F14BC">
              <w:rPr>
                <w:noProof/>
                <w:webHidden/>
              </w:rPr>
              <w:t>7</w:t>
            </w:r>
            <w:r w:rsidR="006C2A3A">
              <w:rPr>
                <w:noProof/>
                <w:webHidden/>
              </w:rPr>
              <w:fldChar w:fldCharType="end"/>
            </w:r>
          </w:hyperlink>
        </w:p>
        <w:p w14:paraId="4B3F17CB" w14:textId="077B506C" w:rsidR="006C2A3A" w:rsidRDefault="002E5053">
          <w:pPr>
            <w:pStyle w:val="TOC1"/>
            <w:tabs>
              <w:tab w:val="right" w:leader="dot" w:pos="8885"/>
            </w:tabs>
            <w:rPr>
              <w:rFonts w:eastAsiaTheme="minorEastAsia"/>
              <w:noProof/>
              <w:lang w:eastAsia="en-GB"/>
            </w:rPr>
          </w:pPr>
          <w:hyperlink w:anchor="_Toc75947106" w:history="1">
            <w:r w:rsidR="006C2A3A" w:rsidRPr="00CD2CD0">
              <w:rPr>
                <w:rStyle w:val="Hyperlink"/>
                <w:noProof/>
              </w:rPr>
              <w:t>Relevant DPA reports, papers and other material</w:t>
            </w:r>
            <w:r w:rsidR="006C2A3A">
              <w:rPr>
                <w:noProof/>
                <w:webHidden/>
              </w:rPr>
              <w:tab/>
            </w:r>
            <w:r w:rsidR="006C2A3A">
              <w:rPr>
                <w:noProof/>
                <w:webHidden/>
              </w:rPr>
              <w:fldChar w:fldCharType="begin"/>
            </w:r>
            <w:r w:rsidR="006C2A3A">
              <w:rPr>
                <w:noProof/>
                <w:webHidden/>
              </w:rPr>
              <w:instrText xml:space="preserve"> PAGEREF _Toc75947106 \h </w:instrText>
            </w:r>
            <w:r w:rsidR="006C2A3A">
              <w:rPr>
                <w:noProof/>
                <w:webHidden/>
              </w:rPr>
            </w:r>
            <w:r w:rsidR="006C2A3A">
              <w:rPr>
                <w:noProof/>
                <w:webHidden/>
              </w:rPr>
              <w:fldChar w:fldCharType="separate"/>
            </w:r>
            <w:r w:rsidR="002F14BC">
              <w:rPr>
                <w:noProof/>
                <w:webHidden/>
              </w:rPr>
              <w:t>8</w:t>
            </w:r>
            <w:r w:rsidR="006C2A3A">
              <w:rPr>
                <w:noProof/>
                <w:webHidden/>
              </w:rPr>
              <w:fldChar w:fldCharType="end"/>
            </w:r>
          </w:hyperlink>
        </w:p>
        <w:p w14:paraId="4E80B1D1" w14:textId="20C8E29A" w:rsidR="006C2A3A" w:rsidRDefault="002E5053">
          <w:pPr>
            <w:pStyle w:val="TOC2"/>
            <w:tabs>
              <w:tab w:val="right" w:leader="dot" w:pos="8885"/>
            </w:tabs>
            <w:rPr>
              <w:rFonts w:eastAsiaTheme="minorEastAsia"/>
              <w:noProof/>
              <w:lang w:eastAsia="en-GB"/>
            </w:rPr>
          </w:pPr>
          <w:hyperlink w:anchor="_Toc75947107" w:history="1">
            <w:r w:rsidR="006C2A3A" w:rsidRPr="00CD2CD0">
              <w:rPr>
                <w:rStyle w:val="Hyperlink"/>
                <w:noProof/>
              </w:rPr>
              <w:t>Family and sexual violence offences</w:t>
            </w:r>
            <w:r w:rsidR="006C2A3A">
              <w:rPr>
                <w:noProof/>
                <w:webHidden/>
              </w:rPr>
              <w:tab/>
            </w:r>
            <w:r w:rsidR="006C2A3A">
              <w:rPr>
                <w:noProof/>
                <w:webHidden/>
              </w:rPr>
              <w:fldChar w:fldCharType="begin"/>
            </w:r>
            <w:r w:rsidR="006C2A3A">
              <w:rPr>
                <w:noProof/>
                <w:webHidden/>
              </w:rPr>
              <w:instrText xml:space="preserve"> PAGEREF _Toc75947107 \h </w:instrText>
            </w:r>
            <w:r w:rsidR="006C2A3A">
              <w:rPr>
                <w:noProof/>
                <w:webHidden/>
              </w:rPr>
            </w:r>
            <w:r w:rsidR="006C2A3A">
              <w:rPr>
                <w:noProof/>
                <w:webHidden/>
              </w:rPr>
              <w:fldChar w:fldCharType="separate"/>
            </w:r>
            <w:r w:rsidR="002F14BC">
              <w:rPr>
                <w:noProof/>
                <w:webHidden/>
              </w:rPr>
              <w:t>8</w:t>
            </w:r>
            <w:r w:rsidR="006C2A3A">
              <w:rPr>
                <w:noProof/>
                <w:webHidden/>
              </w:rPr>
              <w:fldChar w:fldCharType="end"/>
            </w:r>
          </w:hyperlink>
        </w:p>
        <w:p w14:paraId="3A328E6B" w14:textId="55A9FD98" w:rsidR="006C2A3A" w:rsidRDefault="002E5053">
          <w:pPr>
            <w:pStyle w:val="TOC2"/>
            <w:tabs>
              <w:tab w:val="right" w:leader="dot" w:pos="8885"/>
            </w:tabs>
            <w:rPr>
              <w:rFonts w:eastAsiaTheme="minorEastAsia"/>
              <w:noProof/>
              <w:lang w:eastAsia="en-GB"/>
            </w:rPr>
          </w:pPr>
          <w:hyperlink w:anchor="_Toc75947108" w:history="1">
            <w:r w:rsidR="006C2A3A" w:rsidRPr="00CD2CD0">
              <w:rPr>
                <w:rStyle w:val="Hyperlink"/>
                <w:noProof/>
              </w:rPr>
              <w:t>Family protection orders</w:t>
            </w:r>
            <w:r w:rsidR="006C2A3A">
              <w:rPr>
                <w:noProof/>
                <w:webHidden/>
              </w:rPr>
              <w:tab/>
            </w:r>
            <w:r w:rsidR="006C2A3A">
              <w:rPr>
                <w:noProof/>
                <w:webHidden/>
              </w:rPr>
              <w:fldChar w:fldCharType="begin"/>
            </w:r>
            <w:r w:rsidR="006C2A3A">
              <w:rPr>
                <w:noProof/>
                <w:webHidden/>
              </w:rPr>
              <w:instrText xml:space="preserve"> PAGEREF _Toc75947108 \h </w:instrText>
            </w:r>
            <w:r w:rsidR="006C2A3A">
              <w:rPr>
                <w:noProof/>
                <w:webHidden/>
              </w:rPr>
            </w:r>
            <w:r w:rsidR="006C2A3A">
              <w:rPr>
                <w:noProof/>
                <w:webHidden/>
              </w:rPr>
              <w:fldChar w:fldCharType="separate"/>
            </w:r>
            <w:r w:rsidR="002F14BC">
              <w:rPr>
                <w:noProof/>
                <w:webHidden/>
              </w:rPr>
              <w:t>9</w:t>
            </w:r>
            <w:r w:rsidR="006C2A3A">
              <w:rPr>
                <w:noProof/>
                <w:webHidden/>
              </w:rPr>
              <w:fldChar w:fldCharType="end"/>
            </w:r>
          </w:hyperlink>
        </w:p>
        <w:p w14:paraId="408E8380" w14:textId="75728D47" w:rsidR="006C2A3A" w:rsidRDefault="002E5053">
          <w:pPr>
            <w:pStyle w:val="TOC1"/>
            <w:tabs>
              <w:tab w:val="right" w:leader="dot" w:pos="8885"/>
            </w:tabs>
            <w:rPr>
              <w:rFonts w:eastAsiaTheme="minorEastAsia"/>
              <w:noProof/>
              <w:lang w:eastAsia="en-GB"/>
            </w:rPr>
          </w:pPr>
          <w:hyperlink w:anchor="_Toc75947109" w:history="1">
            <w:r w:rsidR="006C2A3A" w:rsidRPr="00CD2CD0">
              <w:rPr>
                <w:rStyle w:val="Hyperlink"/>
                <w:noProof/>
              </w:rPr>
              <w:t>APPENDIX A</w:t>
            </w:r>
            <w:r w:rsidR="006C2A3A">
              <w:rPr>
                <w:noProof/>
                <w:webHidden/>
              </w:rPr>
              <w:tab/>
            </w:r>
            <w:r w:rsidR="006C2A3A">
              <w:rPr>
                <w:noProof/>
                <w:webHidden/>
              </w:rPr>
              <w:fldChar w:fldCharType="begin"/>
            </w:r>
            <w:r w:rsidR="006C2A3A">
              <w:rPr>
                <w:noProof/>
                <w:webHidden/>
              </w:rPr>
              <w:instrText xml:space="preserve"> PAGEREF _Toc75947109 \h </w:instrText>
            </w:r>
            <w:r w:rsidR="006C2A3A">
              <w:rPr>
                <w:noProof/>
                <w:webHidden/>
              </w:rPr>
            </w:r>
            <w:r w:rsidR="006C2A3A">
              <w:rPr>
                <w:noProof/>
                <w:webHidden/>
              </w:rPr>
              <w:fldChar w:fldCharType="separate"/>
            </w:r>
            <w:r w:rsidR="002F14BC">
              <w:rPr>
                <w:noProof/>
                <w:webHidden/>
              </w:rPr>
              <w:t>11</w:t>
            </w:r>
            <w:r w:rsidR="006C2A3A">
              <w:rPr>
                <w:noProof/>
                <w:webHidden/>
              </w:rPr>
              <w:fldChar w:fldCharType="end"/>
            </w:r>
          </w:hyperlink>
        </w:p>
        <w:p w14:paraId="36579D2B" w14:textId="46A2CD8F" w:rsidR="006C2A3A" w:rsidRDefault="002E5053">
          <w:pPr>
            <w:pStyle w:val="TOC2"/>
            <w:tabs>
              <w:tab w:val="right" w:leader="dot" w:pos="8885"/>
            </w:tabs>
            <w:rPr>
              <w:rFonts w:eastAsiaTheme="minorEastAsia"/>
              <w:noProof/>
              <w:lang w:eastAsia="en-GB"/>
            </w:rPr>
          </w:pPr>
          <w:hyperlink w:anchor="_Toc75947110" w:history="1">
            <w:r w:rsidR="006C2A3A" w:rsidRPr="00CD2CD0">
              <w:rPr>
                <w:rStyle w:val="Hyperlink"/>
                <w:noProof/>
              </w:rPr>
              <w:t>Criminal offences that may relate to or are defined as domestic, family or sexual violence (Putt and Dinnen 2020b: p.5)</w:t>
            </w:r>
            <w:r w:rsidR="006C2A3A">
              <w:rPr>
                <w:noProof/>
                <w:webHidden/>
              </w:rPr>
              <w:tab/>
            </w:r>
            <w:r w:rsidR="006C2A3A">
              <w:rPr>
                <w:noProof/>
                <w:webHidden/>
              </w:rPr>
              <w:fldChar w:fldCharType="begin"/>
            </w:r>
            <w:r w:rsidR="006C2A3A">
              <w:rPr>
                <w:noProof/>
                <w:webHidden/>
              </w:rPr>
              <w:instrText xml:space="preserve"> PAGEREF _Toc75947110 \h </w:instrText>
            </w:r>
            <w:r w:rsidR="006C2A3A">
              <w:rPr>
                <w:noProof/>
                <w:webHidden/>
              </w:rPr>
            </w:r>
            <w:r w:rsidR="006C2A3A">
              <w:rPr>
                <w:noProof/>
                <w:webHidden/>
              </w:rPr>
              <w:fldChar w:fldCharType="separate"/>
            </w:r>
            <w:r w:rsidR="002F14BC">
              <w:rPr>
                <w:noProof/>
                <w:webHidden/>
              </w:rPr>
              <w:t>11</w:t>
            </w:r>
            <w:r w:rsidR="006C2A3A">
              <w:rPr>
                <w:noProof/>
                <w:webHidden/>
              </w:rPr>
              <w:fldChar w:fldCharType="end"/>
            </w:r>
          </w:hyperlink>
        </w:p>
        <w:p w14:paraId="5A354207" w14:textId="6EB4CF06" w:rsidR="006C2A3A" w:rsidRDefault="002E5053">
          <w:pPr>
            <w:pStyle w:val="TOC1"/>
            <w:tabs>
              <w:tab w:val="right" w:leader="dot" w:pos="8885"/>
            </w:tabs>
            <w:rPr>
              <w:rFonts w:eastAsiaTheme="minorEastAsia"/>
              <w:noProof/>
              <w:lang w:eastAsia="en-GB"/>
            </w:rPr>
          </w:pPr>
          <w:hyperlink w:anchor="_Toc75947111" w:history="1">
            <w:r w:rsidR="006C2A3A" w:rsidRPr="00CD2CD0">
              <w:rPr>
                <w:rStyle w:val="Hyperlink"/>
                <w:noProof/>
              </w:rPr>
              <w:t>APPENDIX B</w:t>
            </w:r>
            <w:r w:rsidR="006C2A3A">
              <w:rPr>
                <w:noProof/>
                <w:webHidden/>
              </w:rPr>
              <w:tab/>
            </w:r>
            <w:r w:rsidR="006C2A3A">
              <w:rPr>
                <w:noProof/>
                <w:webHidden/>
              </w:rPr>
              <w:fldChar w:fldCharType="begin"/>
            </w:r>
            <w:r w:rsidR="006C2A3A">
              <w:rPr>
                <w:noProof/>
                <w:webHidden/>
              </w:rPr>
              <w:instrText xml:space="preserve"> PAGEREF _Toc75947111 \h </w:instrText>
            </w:r>
            <w:r w:rsidR="006C2A3A">
              <w:rPr>
                <w:noProof/>
                <w:webHidden/>
              </w:rPr>
            </w:r>
            <w:r w:rsidR="006C2A3A">
              <w:rPr>
                <w:noProof/>
                <w:webHidden/>
              </w:rPr>
              <w:fldChar w:fldCharType="separate"/>
            </w:r>
            <w:r w:rsidR="002F14BC">
              <w:rPr>
                <w:noProof/>
                <w:webHidden/>
              </w:rPr>
              <w:t>13</w:t>
            </w:r>
            <w:r w:rsidR="006C2A3A">
              <w:rPr>
                <w:noProof/>
                <w:webHidden/>
              </w:rPr>
              <w:fldChar w:fldCharType="end"/>
            </w:r>
          </w:hyperlink>
        </w:p>
        <w:p w14:paraId="4832E45A" w14:textId="2976FE7C" w:rsidR="006C2A3A" w:rsidRDefault="002E5053">
          <w:pPr>
            <w:pStyle w:val="TOC2"/>
            <w:tabs>
              <w:tab w:val="right" w:leader="dot" w:pos="8885"/>
            </w:tabs>
            <w:rPr>
              <w:rFonts w:eastAsiaTheme="minorEastAsia"/>
              <w:noProof/>
              <w:lang w:eastAsia="en-GB"/>
            </w:rPr>
          </w:pPr>
          <w:hyperlink w:anchor="_Toc75947112" w:history="1">
            <w:r w:rsidR="006C2A3A" w:rsidRPr="00CD2CD0">
              <w:rPr>
                <w:rStyle w:val="Hyperlink"/>
                <w:noProof/>
              </w:rPr>
              <w:t>Summary of key findings from the FSV offences research project, from the report’s executive summary (Putt and Dinnen 2020).</w:t>
            </w:r>
            <w:r w:rsidR="006C2A3A">
              <w:rPr>
                <w:noProof/>
                <w:webHidden/>
              </w:rPr>
              <w:tab/>
            </w:r>
            <w:r w:rsidR="006C2A3A">
              <w:rPr>
                <w:noProof/>
                <w:webHidden/>
              </w:rPr>
              <w:fldChar w:fldCharType="begin"/>
            </w:r>
            <w:r w:rsidR="006C2A3A">
              <w:rPr>
                <w:noProof/>
                <w:webHidden/>
              </w:rPr>
              <w:instrText xml:space="preserve"> PAGEREF _Toc75947112 \h </w:instrText>
            </w:r>
            <w:r w:rsidR="006C2A3A">
              <w:rPr>
                <w:noProof/>
                <w:webHidden/>
              </w:rPr>
            </w:r>
            <w:r w:rsidR="006C2A3A">
              <w:rPr>
                <w:noProof/>
                <w:webHidden/>
              </w:rPr>
              <w:fldChar w:fldCharType="separate"/>
            </w:r>
            <w:r w:rsidR="002F14BC">
              <w:rPr>
                <w:noProof/>
                <w:webHidden/>
              </w:rPr>
              <w:t>13</w:t>
            </w:r>
            <w:r w:rsidR="006C2A3A">
              <w:rPr>
                <w:noProof/>
                <w:webHidden/>
              </w:rPr>
              <w:fldChar w:fldCharType="end"/>
            </w:r>
          </w:hyperlink>
        </w:p>
        <w:p w14:paraId="58E56ED6" w14:textId="636F3A6B" w:rsidR="00C26273" w:rsidRDefault="006C2A3A" w:rsidP="00C26273">
          <w:pPr>
            <w:rPr>
              <w:bCs/>
              <w:noProof/>
            </w:rPr>
          </w:pPr>
          <w:r>
            <w:rPr>
              <w:sz w:val="24"/>
            </w:rPr>
            <w:fldChar w:fldCharType="end"/>
          </w:r>
        </w:p>
      </w:sdtContent>
    </w:sdt>
    <w:p w14:paraId="74D9E088" w14:textId="77777777" w:rsidR="00C26273" w:rsidRDefault="00C26273" w:rsidP="00C26273"/>
    <w:p w14:paraId="484CA52D" w14:textId="068ABFC0" w:rsidR="00C26273" w:rsidRDefault="00C26273" w:rsidP="006951D8">
      <w:pPr>
        <w:pStyle w:val="Heading1"/>
      </w:pPr>
      <w:r>
        <w:br w:type="page"/>
      </w:r>
      <w:bookmarkStart w:id="2" w:name="_Toc75947099"/>
      <w:r w:rsidR="008A2813">
        <w:lastRenderedPageBreak/>
        <w:t>Introduction</w:t>
      </w:r>
      <w:bookmarkEnd w:id="2"/>
    </w:p>
    <w:p w14:paraId="32CA9EE8" w14:textId="5A6ADB9D" w:rsidR="008A2813" w:rsidRPr="004D1655" w:rsidRDefault="008A2813" w:rsidP="008A2813">
      <w:r w:rsidRPr="004D1655">
        <w:t xml:space="preserve">This submission addresses </w:t>
      </w:r>
      <w:r w:rsidR="004A68AB">
        <w:t xml:space="preserve">select </w:t>
      </w:r>
      <w:r w:rsidRPr="004D1655">
        <w:t>terms of reference</w:t>
      </w:r>
      <w:r w:rsidR="004A68AB">
        <w:t xml:space="preserve"> of the inquiry, in accordance with authors’ areas of knowledge and expertise</w:t>
      </w:r>
      <w:r w:rsidRPr="004D1655">
        <w:t xml:space="preserve">. The submission is based on research undertaken in the past four years </w:t>
      </w:r>
      <w:r w:rsidRPr="002C08A1">
        <w:t xml:space="preserve">on domestic, family and sexual violence in PNG. </w:t>
      </w:r>
      <w:r w:rsidRPr="002B1A3B">
        <w:t>Many local researchers and a number of academics in PNG were involved in this work, but the submission represents the views of academics in the Department of Pacific Affairs</w:t>
      </w:r>
      <w:r w:rsidR="004D1655" w:rsidRPr="002B1A3B">
        <w:t xml:space="preserve"> (DPA)</w:t>
      </w:r>
      <w:r w:rsidRPr="002B1A3B">
        <w:t>, at the Australian National University</w:t>
      </w:r>
      <w:r w:rsidRPr="002C08A1">
        <w:t>.</w:t>
      </w:r>
      <w:r w:rsidRPr="004D1655">
        <w:t xml:space="preserve"> The two key research projects </w:t>
      </w:r>
      <w:r w:rsidR="004D1655">
        <w:t xml:space="preserve">that underpin this submission </w:t>
      </w:r>
      <w:r w:rsidRPr="004D1655">
        <w:t>related to firstly, family protection orders, and secondly, family and sexual violence offences.</w:t>
      </w:r>
    </w:p>
    <w:p w14:paraId="2A636677" w14:textId="2A93C69E" w:rsidR="004D1655" w:rsidRDefault="004D1655" w:rsidP="004D1655">
      <w:pPr>
        <w:pStyle w:val="Heading1"/>
      </w:pPr>
      <w:bookmarkStart w:id="3" w:name="_Toc75947100"/>
      <w:r>
        <w:t xml:space="preserve">Key </w:t>
      </w:r>
      <w:r w:rsidR="00D12777">
        <w:t>m</w:t>
      </w:r>
      <w:r>
        <w:t>essages</w:t>
      </w:r>
      <w:bookmarkEnd w:id="3"/>
    </w:p>
    <w:p w14:paraId="223EF716" w14:textId="61469AD2" w:rsidR="008A2813" w:rsidRDefault="004D1655" w:rsidP="00424909">
      <w:r w:rsidRPr="004D1655">
        <w:t>The key message</w:t>
      </w:r>
      <w:r>
        <w:t>s</w:t>
      </w:r>
      <w:r w:rsidRPr="004D1655">
        <w:t xml:space="preserve"> of this submission are as follows:</w:t>
      </w:r>
    </w:p>
    <w:p w14:paraId="76D3B875" w14:textId="59E2284B" w:rsidR="004A68AB" w:rsidRPr="00D22830" w:rsidRDefault="006C2A3A" w:rsidP="00D178A6">
      <w:pPr>
        <w:pStyle w:val="ListParagraph"/>
        <w:numPr>
          <w:ilvl w:val="0"/>
          <w:numId w:val="24"/>
        </w:numPr>
      </w:pPr>
      <w:r w:rsidRPr="006C2A3A">
        <w:rPr>
          <w:szCs w:val="20"/>
        </w:rPr>
        <w:t>There are three key pillars which can support</w:t>
      </w:r>
      <w:r w:rsidRPr="00D178A6">
        <w:rPr>
          <w:szCs w:val="20"/>
        </w:rPr>
        <w:t xml:space="preserve"> prevention of gender based violence and behavioural change: Immediate assistance for victims, holding </w:t>
      </w:r>
      <w:r w:rsidRPr="00D22830">
        <w:rPr>
          <w:szCs w:val="20"/>
        </w:rPr>
        <w:t xml:space="preserve">perpetrators to account and awareness of rights.  </w:t>
      </w:r>
    </w:p>
    <w:p w14:paraId="3FCE715A" w14:textId="4C829D03" w:rsidR="004A68AB" w:rsidRDefault="004A68AB" w:rsidP="00D178A6">
      <w:pPr>
        <w:pStyle w:val="ListParagraph"/>
        <w:numPr>
          <w:ilvl w:val="0"/>
          <w:numId w:val="24"/>
        </w:numPr>
        <w:rPr>
          <w:szCs w:val="20"/>
        </w:rPr>
      </w:pPr>
      <w:r w:rsidRPr="006C2A3A">
        <w:rPr>
          <w:szCs w:val="20"/>
        </w:rPr>
        <w:t xml:space="preserve">The results from </w:t>
      </w:r>
      <w:r w:rsidR="006C2A3A">
        <w:rPr>
          <w:szCs w:val="20"/>
        </w:rPr>
        <w:t>a</w:t>
      </w:r>
      <w:r w:rsidRPr="006C2A3A">
        <w:rPr>
          <w:szCs w:val="20"/>
        </w:rPr>
        <w:t xml:space="preserve"> young adults’ survey underline the need to tailor community education and awareness activities for different groups in different settings, including young adults.</w:t>
      </w:r>
    </w:p>
    <w:p w14:paraId="3F319649" w14:textId="6CFBB960" w:rsidR="00D178A6" w:rsidRDefault="00D178A6" w:rsidP="00D178A6">
      <w:pPr>
        <w:pStyle w:val="ListParagraph"/>
        <w:numPr>
          <w:ilvl w:val="0"/>
          <w:numId w:val="24"/>
        </w:numPr>
        <w:rPr>
          <w:szCs w:val="20"/>
        </w:rPr>
      </w:pPr>
      <w:r w:rsidRPr="004D1655">
        <w:rPr>
          <w:szCs w:val="20"/>
        </w:rPr>
        <w:t xml:space="preserve">The majority of women (81%) who </w:t>
      </w:r>
      <w:r>
        <w:rPr>
          <w:szCs w:val="20"/>
        </w:rPr>
        <w:t xml:space="preserve">we interviewed, who </w:t>
      </w:r>
      <w:r w:rsidRPr="004D1655">
        <w:rPr>
          <w:szCs w:val="20"/>
        </w:rPr>
        <w:t xml:space="preserve">had an </w:t>
      </w:r>
      <w:r>
        <w:rPr>
          <w:szCs w:val="20"/>
        </w:rPr>
        <w:t xml:space="preserve">interim protection order (IPO) </w:t>
      </w:r>
      <w:r w:rsidRPr="004D1655">
        <w:rPr>
          <w:szCs w:val="20"/>
        </w:rPr>
        <w:t xml:space="preserve">issued, did feel safer as a result. </w:t>
      </w:r>
    </w:p>
    <w:p w14:paraId="71D77A4D" w14:textId="08D3A830" w:rsidR="00D178A6" w:rsidRPr="00FB37A3" w:rsidRDefault="00D178A6" w:rsidP="00FB37A3">
      <w:pPr>
        <w:pStyle w:val="ListParagraph"/>
        <w:numPr>
          <w:ilvl w:val="0"/>
          <w:numId w:val="24"/>
        </w:numPr>
        <w:rPr>
          <w:szCs w:val="20"/>
        </w:rPr>
      </w:pPr>
      <w:r w:rsidRPr="00FB37A3">
        <w:rPr>
          <w:szCs w:val="20"/>
        </w:rPr>
        <w:t>Although IPOs are becom</w:t>
      </w:r>
      <w:r w:rsidRPr="0001303D">
        <w:rPr>
          <w:szCs w:val="20"/>
        </w:rPr>
        <w:t xml:space="preserve">ing more well known, </w:t>
      </w:r>
      <w:r w:rsidRPr="00FB37A3">
        <w:rPr>
          <w:szCs w:val="20"/>
        </w:rPr>
        <w:t xml:space="preserve">longer term protection orders (POs) are not as well understood. For behavioural change to occur, it is important to increase awareness and understanding of POs, and the process by which they can be obtained. </w:t>
      </w:r>
    </w:p>
    <w:p w14:paraId="00F14B4C" w14:textId="733FA7B2" w:rsidR="004A68AB" w:rsidRDefault="00D178A6" w:rsidP="00D178A6">
      <w:pPr>
        <w:pStyle w:val="ListParagraph"/>
        <w:numPr>
          <w:ilvl w:val="0"/>
          <w:numId w:val="24"/>
        </w:numPr>
        <w:rPr>
          <w:szCs w:val="20"/>
        </w:rPr>
      </w:pPr>
      <w:r w:rsidRPr="00D178A6">
        <w:rPr>
          <w:szCs w:val="20"/>
        </w:rPr>
        <w:t>Targeted resourcing can improve access to family protection orders (both IPOs and POs), with for example, the employment of more District Court magistrates and IPO clerks.</w:t>
      </w:r>
    </w:p>
    <w:p w14:paraId="2BE9E994" w14:textId="462C98EF" w:rsidR="00D178A6" w:rsidRDefault="004A68AB" w:rsidP="00D178A6">
      <w:pPr>
        <w:pStyle w:val="ListParagraph"/>
        <w:numPr>
          <w:ilvl w:val="0"/>
          <w:numId w:val="24"/>
        </w:numPr>
        <w:rPr>
          <w:szCs w:val="20"/>
        </w:rPr>
      </w:pPr>
      <w:r w:rsidRPr="00D178A6">
        <w:rPr>
          <w:szCs w:val="20"/>
        </w:rPr>
        <w:t xml:space="preserve">The principal critiques of the criminal justice system relate to lack of enforcement, and few successful prosecutions of FSV offences. Increasing penalties will not make a difference – they are available already. </w:t>
      </w:r>
    </w:p>
    <w:p w14:paraId="37F3E9A2" w14:textId="1870E382" w:rsidR="00D178A6" w:rsidRDefault="00D178A6" w:rsidP="00D178A6">
      <w:pPr>
        <w:pStyle w:val="ListParagraph"/>
        <w:numPr>
          <w:ilvl w:val="0"/>
          <w:numId w:val="24"/>
        </w:numPr>
        <w:rPr>
          <w:szCs w:val="20"/>
        </w:rPr>
      </w:pPr>
      <w:r>
        <w:rPr>
          <w:szCs w:val="20"/>
        </w:rPr>
        <w:t xml:space="preserve">PNG’s formal justice sector requires significant investment to successfully deliver justice. </w:t>
      </w:r>
    </w:p>
    <w:p w14:paraId="6FD93C7B" w14:textId="33B713A4" w:rsidR="00D178A6" w:rsidRPr="00D178A6" w:rsidRDefault="00D178A6" w:rsidP="00D178A6">
      <w:pPr>
        <w:pStyle w:val="ListParagraph"/>
        <w:numPr>
          <w:ilvl w:val="0"/>
          <w:numId w:val="24"/>
        </w:numPr>
        <w:rPr>
          <w:szCs w:val="20"/>
        </w:rPr>
      </w:pPr>
      <w:r w:rsidRPr="00D178A6">
        <w:rPr>
          <w:szCs w:val="20"/>
        </w:rPr>
        <w:t xml:space="preserve">The response from frontline police requires improvement. </w:t>
      </w:r>
    </w:p>
    <w:p w14:paraId="3F2E2B3A" w14:textId="3D1BDC56" w:rsidR="004A68AB" w:rsidRDefault="00D178A6" w:rsidP="00D178A6">
      <w:pPr>
        <w:pStyle w:val="ListParagraph"/>
        <w:numPr>
          <w:ilvl w:val="0"/>
          <w:numId w:val="24"/>
        </w:numPr>
        <w:rPr>
          <w:szCs w:val="20"/>
        </w:rPr>
      </w:pPr>
      <w:r w:rsidRPr="00D178A6">
        <w:rPr>
          <w:szCs w:val="20"/>
        </w:rPr>
        <w:t xml:space="preserve">District Courts need to be more specialised, </w:t>
      </w:r>
      <w:r w:rsidR="004A68AB" w:rsidRPr="00D178A6">
        <w:rPr>
          <w:szCs w:val="20"/>
        </w:rPr>
        <w:t>with dedicated listings or specialist courts for family law, and civil and criminal FSV matters.</w:t>
      </w:r>
    </w:p>
    <w:p w14:paraId="693D3299" w14:textId="6C1B8A8C" w:rsidR="004A68AB" w:rsidRPr="00D178A6" w:rsidRDefault="00D178A6" w:rsidP="00D178A6">
      <w:pPr>
        <w:pStyle w:val="ListParagraph"/>
        <w:numPr>
          <w:ilvl w:val="0"/>
          <w:numId w:val="24"/>
        </w:numPr>
        <w:rPr>
          <w:szCs w:val="20"/>
        </w:rPr>
      </w:pPr>
      <w:r w:rsidRPr="00D178A6">
        <w:rPr>
          <w:szCs w:val="20"/>
        </w:rPr>
        <w:t xml:space="preserve">Family protection orders should be issued while courts deal with FSV </w:t>
      </w:r>
      <w:r w:rsidR="004A68AB" w:rsidRPr="00D178A6">
        <w:rPr>
          <w:szCs w:val="20"/>
        </w:rPr>
        <w:t>criminal matters</w:t>
      </w:r>
      <w:r w:rsidRPr="00D178A6">
        <w:rPr>
          <w:szCs w:val="20"/>
        </w:rPr>
        <w:t xml:space="preserve">, </w:t>
      </w:r>
      <w:r w:rsidR="004A68AB" w:rsidRPr="00D178A6">
        <w:rPr>
          <w:szCs w:val="20"/>
        </w:rPr>
        <w:t>for example, when the case is adjourned or at sentencing.</w:t>
      </w:r>
    </w:p>
    <w:p w14:paraId="6BCB1250" w14:textId="42321CAF" w:rsidR="004A68AB" w:rsidRDefault="00D178A6" w:rsidP="00D178A6">
      <w:pPr>
        <w:pStyle w:val="ListParagraph"/>
        <w:numPr>
          <w:ilvl w:val="0"/>
          <w:numId w:val="24"/>
        </w:numPr>
        <w:rPr>
          <w:szCs w:val="20"/>
        </w:rPr>
      </w:pPr>
      <w:r w:rsidRPr="00D178A6">
        <w:rPr>
          <w:szCs w:val="20"/>
        </w:rPr>
        <w:t>M</w:t>
      </w:r>
      <w:r w:rsidR="004A68AB" w:rsidRPr="00D178A6">
        <w:rPr>
          <w:szCs w:val="20"/>
        </w:rPr>
        <w:t xml:space="preserve">ore magistrates and National Court judges </w:t>
      </w:r>
      <w:r w:rsidRPr="00D178A6">
        <w:rPr>
          <w:szCs w:val="20"/>
        </w:rPr>
        <w:t xml:space="preserve">need to be appointed </w:t>
      </w:r>
      <w:r w:rsidR="004A68AB" w:rsidRPr="00D178A6">
        <w:rPr>
          <w:szCs w:val="20"/>
        </w:rPr>
        <w:t>to reduce the backlog in cases and reduce the pressure on existing officials</w:t>
      </w:r>
      <w:r>
        <w:rPr>
          <w:szCs w:val="20"/>
        </w:rPr>
        <w:t>.</w:t>
      </w:r>
    </w:p>
    <w:p w14:paraId="178331EE" w14:textId="55436DC0" w:rsidR="00531F4B" w:rsidRDefault="00531F4B" w:rsidP="00D178A6">
      <w:pPr>
        <w:pStyle w:val="ListParagraph"/>
        <w:numPr>
          <w:ilvl w:val="0"/>
          <w:numId w:val="24"/>
        </w:numPr>
        <w:rPr>
          <w:szCs w:val="20"/>
        </w:rPr>
      </w:pPr>
      <w:r w:rsidRPr="00D22830">
        <w:rPr>
          <w:szCs w:val="20"/>
        </w:rPr>
        <w:t>Specialist non-government</w:t>
      </w:r>
      <w:r w:rsidRPr="00FB37A3">
        <w:rPr>
          <w:szCs w:val="20"/>
        </w:rPr>
        <w:t xml:space="preserve"> organisations</w:t>
      </w:r>
      <w:r w:rsidRPr="0001303D">
        <w:rPr>
          <w:szCs w:val="20"/>
        </w:rPr>
        <w:t xml:space="preserve"> provi</w:t>
      </w:r>
      <w:r w:rsidRPr="00D22830">
        <w:rPr>
          <w:szCs w:val="20"/>
        </w:rPr>
        <w:t>de vital support to victims of gender based violence</w:t>
      </w:r>
      <w:r w:rsidR="002E3E68">
        <w:rPr>
          <w:szCs w:val="20"/>
        </w:rPr>
        <w:t>.</w:t>
      </w:r>
    </w:p>
    <w:p w14:paraId="5F29E699" w14:textId="1BBB3704" w:rsidR="00D178A6" w:rsidRDefault="00D178A6" w:rsidP="00D178A6">
      <w:pPr>
        <w:pStyle w:val="ListParagraph"/>
        <w:numPr>
          <w:ilvl w:val="0"/>
          <w:numId w:val="24"/>
        </w:numPr>
        <w:rPr>
          <w:szCs w:val="20"/>
        </w:rPr>
      </w:pPr>
      <w:r>
        <w:rPr>
          <w:szCs w:val="20"/>
        </w:rPr>
        <w:t xml:space="preserve">The government, through the formal justice sector, can play a larger role in victim support, </w:t>
      </w:r>
      <w:r w:rsidRPr="00D178A6">
        <w:rPr>
          <w:szCs w:val="20"/>
        </w:rPr>
        <w:t xml:space="preserve">which </w:t>
      </w:r>
      <w:r>
        <w:rPr>
          <w:szCs w:val="20"/>
        </w:rPr>
        <w:t xml:space="preserve">will </w:t>
      </w:r>
      <w:r w:rsidRPr="00D178A6">
        <w:rPr>
          <w:szCs w:val="20"/>
        </w:rPr>
        <w:t>make</w:t>
      </w:r>
      <w:r>
        <w:rPr>
          <w:szCs w:val="20"/>
        </w:rPr>
        <w:t xml:space="preserve"> </w:t>
      </w:r>
      <w:r w:rsidRPr="00D178A6">
        <w:rPr>
          <w:szCs w:val="20"/>
        </w:rPr>
        <w:t>it more likely that witnesses and victim</w:t>
      </w:r>
      <w:r>
        <w:rPr>
          <w:szCs w:val="20"/>
        </w:rPr>
        <w:t>s</w:t>
      </w:r>
      <w:r w:rsidRPr="00D178A6">
        <w:rPr>
          <w:szCs w:val="20"/>
        </w:rPr>
        <w:t xml:space="preserve"> stay engaged in the </w:t>
      </w:r>
      <w:r>
        <w:rPr>
          <w:szCs w:val="20"/>
        </w:rPr>
        <w:t>p</w:t>
      </w:r>
      <w:r w:rsidRPr="00D178A6">
        <w:rPr>
          <w:szCs w:val="20"/>
        </w:rPr>
        <w:t>rocess.</w:t>
      </w:r>
      <w:r w:rsidR="00D22830">
        <w:rPr>
          <w:szCs w:val="20"/>
        </w:rPr>
        <w:t xml:space="preserve"> </w:t>
      </w:r>
      <w:r w:rsidR="00FB37A3">
        <w:rPr>
          <w:szCs w:val="20"/>
        </w:rPr>
        <w:t>V</w:t>
      </w:r>
      <w:r w:rsidR="00D22830">
        <w:rPr>
          <w:szCs w:val="20"/>
        </w:rPr>
        <w:t xml:space="preserve">ictim support needs to also include legal literacy for victims and their families. </w:t>
      </w:r>
    </w:p>
    <w:p w14:paraId="46515C57" w14:textId="77777777" w:rsidR="0001303D" w:rsidRPr="00D22830" w:rsidRDefault="0001303D" w:rsidP="0001303D">
      <w:pPr>
        <w:pStyle w:val="ListParagraph"/>
        <w:numPr>
          <w:ilvl w:val="0"/>
          <w:numId w:val="24"/>
        </w:numPr>
        <w:rPr>
          <w:szCs w:val="20"/>
          <w:u w:val="single"/>
        </w:rPr>
      </w:pPr>
      <w:r w:rsidRPr="00EE561A">
        <w:rPr>
          <w:szCs w:val="20"/>
        </w:rPr>
        <w:t>Having victim liaison positions attached to District Courts will help tracking, and improve accountability and communication, as cases progress through the justice system.</w:t>
      </w:r>
    </w:p>
    <w:p w14:paraId="59DD1763" w14:textId="3996720D" w:rsidR="004A68AB" w:rsidRDefault="00D22830" w:rsidP="00D22830">
      <w:pPr>
        <w:pStyle w:val="ListParagraph"/>
        <w:numPr>
          <w:ilvl w:val="0"/>
          <w:numId w:val="24"/>
        </w:numPr>
        <w:rPr>
          <w:szCs w:val="20"/>
        </w:rPr>
      </w:pPr>
      <w:r w:rsidRPr="00D22830">
        <w:rPr>
          <w:szCs w:val="20"/>
        </w:rPr>
        <w:t>Village courts will be able to better support victims of gender based violence with</w:t>
      </w:r>
      <w:r>
        <w:rPr>
          <w:szCs w:val="20"/>
        </w:rPr>
        <w:t xml:space="preserve">: </w:t>
      </w:r>
      <w:r w:rsidR="004A68AB" w:rsidRPr="00D22830">
        <w:rPr>
          <w:szCs w:val="20"/>
        </w:rPr>
        <w:t>a) amendments to the Village Court Act</w:t>
      </w:r>
      <w:r>
        <w:rPr>
          <w:szCs w:val="20"/>
        </w:rPr>
        <w:t>;</w:t>
      </w:r>
      <w:r w:rsidR="004A68AB" w:rsidRPr="00D22830">
        <w:rPr>
          <w:szCs w:val="20"/>
        </w:rPr>
        <w:t xml:space="preserve"> b) greater and reliable funding</w:t>
      </w:r>
      <w:r>
        <w:rPr>
          <w:szCs w:val="20"/>
        </w:rPr>
        <w:t>;</w:t>
      </w:r>
      <w:r w:rsidR="004A68AB" w:rsidRPr="00D22830">
        <w:rPr>
          <w:szCs w:val="20"/>
        </w:rPr>
        <w:t xml:space="preserve"> c) more female Village Court Magistrates</w:t>
      </w:r>
      <w:r>
        <w:rPr>
          <w:szCs w:val="20"/>
        </w:rPr>
        <w:t xml:space="preserve">; </w:t>
      </w:r>
      <w:r w:rsidR="004A68AB" w:rsidRPr="00D22830">
        <w:rPr>
          <w:szCs w:val="20"/>
        </w:rPr>
        <w:t>and d) accessible guidance notes explicitly for Village Court officials</w:t>
      </w:r>
      <w:r>
        <w:rPr>
          <w:szCs w:val="20"/>
        </w:rPr>
        <w:t xml:space="preserve">. </w:t>
      </w:r>
    </w:p>
    <w:p w14:paraId="23FB3721" w14:textId="734E6F4F" w:rsidR="00D22830" w:rsidRPr="002B1A3B" w:rsidRDefault="00D22830" w:rsidP="002B1A3B">
      <w:pPr>
        <w:pStyle w:val="ListParagraph"/>
        <w:numPr>
          <w:ilvl w:val="0"/>
          <w:numId w:val="24"/>
        </w:numPr>
        <w:rPr>
          <w:szCs w:val="20"/>
        </w:rPr>
      </w:pPr>
      <w:r w:rsidRPr="00D22830">
        <w:rPr>
          <w:szCs w:val="20"/>
        </w:rPr>
        <w:t xml:space="preserve">There is varying knowledge and attitudes toward gender based violence among senior police and magistrates </w:t>
      </w:r>
      <w:r w:rsidRPr="00FB37A3">
        <w:rPr>
          <w:szCs w:val="20"/>
        </w:rPr>
        <w:t xml:space="preserve">across PNG. </w:t>
      </w:r>
      <w:r w:rsidRPr="00D22830">
        <w:rPr>
          <w:szCs w:val="20"/>
        </w:rPr>
        <w:t xml:space="preserve">More </w:t>
      </w:r>
      <w:r>
        <w:rPr>
          <w:szCs w:val="20"/>
        </w:rPr>
        <w:t xml:space="preserve">needs to be </w:t>
      </w:r>
      <w:r w:rsidRPr="00D22830">
        <w:rPr>
          <w:szCs w:val="20"/>
        </w:rPr>
        <w:t xml:space="preserve">done to assess the performance of </w:t>
      </w:r>
      <w:r>
        <w:rPr>
          <w:szCs w:val="20"/>
        </w:rPr>
        <w:t xml:space="preserve">these </w:t>
      </w:r>
      <w:r w:rsidRPr="00D22830">
        <w:rPr>
          <w:szCs w:val="20"/>
        </w:rPr>
        <w:t>key</w:t>
      </w:r>
      <w:r>
        <w:rPr>
          <w:szCs w:val="20"/>
        </w:rPr>
        <w:t xml:space="preserve"> actors, </w:t>
      </w:r>
      <w:r w:rsidRPr="00D22830">
        <w:rPr>
          <w:szCs w:val="20"/>
        </w:rPr>
        <w:t>and to reward those that demonstrate commitment to timely, impartial and compassionate justice.</w:t>
      </w:r>
    </w:p>
    <w:p w14:paraId="52873059" w14:textId="386314E8" w:rsidR="00D22830" w:rsidRPr="00D22830" w:rsidRDefault="00D22830" w:rsidP="00D22830">
      <w:pPr>
        <w:pStyle w:val="ListParagraph"/>
        <w:numPr>
          <w:ilvl w:val="0"/>
          <w:numId w:val="24"/>
        </w:numPr>
        <w:rPr>
          <w:szCs w:val="20"/>
        </w:rPr>
      </w:pPr>
      <w:r w:rsidRPr="00D22830">
        <w:rPr>
          <w:szCs w:val="20"/>
        </w:rPr>
        <w:t>The benefits of good record keeping and the routine collection of statistics need to be better understood by those who are responsible for record making and keeping. Investment</w:t>
      </w:r>
      <w:r w:rsidRPr="00FB37A3">
        <w:rPr>
          <w:szCs w:val="20"/>
        </w:rPr>
        <w:t xml:space="preserve"> should be in l</w:t>
      </w:r>
      <w:r w:rsidRPr="00D22830">
        <w:rPr>
          <w:szCs w:val="20"/>
        </w:rPr>
        <w:t xml:space="preserve">ow cost, simple systems that can be implemented and maintained across the country. </w:t>
      </w:r>
    </w:p>
    <w:p w14:paraId="4D5791A5" w14:textId="1B9D3EEB" w:rsidR="006C2A3A" w:rsidRDefault="00D22830" w:rsidP="00D22830">
      <w:pPr>
        <w:pStyle w:val="ListParagraph"/>
        <w:numPr>
          <w:ilvl w:val="0"/>
          <w:numId w:val="24"/>
        </w:numPr>
        <w:rPr>
          <w:szCs w:val="20"/>
        </w:rPr>
      </w:pPr>
      <w:r w:rsidRPr="00D22830">
        <w:rPr>
          <w:szCs w:val="20"/>
        </w:rPr>
        <w:t xml:space="preserve">There is a need for improved </w:t>
      </w:r>
      <w:r w:rsidR="006C2A3A" w:rsidRPr="00D22830">
        <w:rPr>
          <w:szCs w:val="20"/>
        </w:rPr>
        <w:t xml:space="preserve">communication flows about the progress of cases and their outcomes, within police, between criminal justice agencies and with NGO service providers. </w:t>
      </w:r>
    </w:p>
    <w:p w14:paraId="7A8380F4" w14:textId="2C12AF3C" w:rsidR="00D22830" w:rsidRPr="00D22830" w:rsidRDefault="00D22830" w:rsidP="00D22830">
      <w:pPr>
        <w:pStyle w:val="ListParagraph"/>
        <w:numPr>
          <w:ilvl w:val="0"/>
          <w:numId w:val="24"/>
        </w:numPr>
        <w:rPr>
          <w:szCs w:val="20"/>
        </w:rPr>
      </w:pPr>
      <w:r>
        <w:rPr>
          <w:szCs w:val="20"/>
        </w:rPr>
        <w:t xml:space="preserve">PNG needs a criminal histories database. </w:t>
      </w:r>
    </w:p>
    <w:p w14:paraId="6499C16F" w14:textId="69689844" w:rsidR="008A2813" w:rsidRDefault="008A2813" w:rsidP="008A2813">
      <w:pPr>
        <w:pStyle w:val="Heading1"/>
      </w:pPr>
      <w:bookmarkStart w:id="4" w:name="_Toc75947101"/>
      <w:r w:rsidRPr="0041189D">
        <w:lastRenderedPageBreak/>
        <w:t>A</w:t>
      </w:r>
      <w:r>
        <w:t xml:space="preserve">ddressing </w:t>
      </w:r>
      <w:r w:rsidR="004D1655">
        <w:t>select</w:t>
      </w:r>
      <w:r>
        <w:t xml:space="preserve"> Terms of Reference</w:t>
      </w:r>
      <w:bookmarkEnd w:id="4"/>
    </w:p>
    <w:p w14:paraId="22DB6FB5" w14:textId="0172D51A" w:rsidR="00424909" w:rsidRPr="00424909" w:rsidRDefault="00424909" w:rsidP="004D1655">
      <w:pPr>
        <w:pStyle w:val="Heading2"/>
      </w:pPr>
      <w:bookmarkStart w:id="5" w:name="_Toc75947102"/>
      <w:r w:rsidRPr="00424909">
        <w:t>Term of Reference B</w:t>
      </w:r>
      <w:bookmarkEnd w:id="5"/>
    </w:p>
    <w:p w14:paraId="584F04EC" w14:textId="1B9AF5FB" w:rsidR="008A2813" w:rsidRPr="00424909" w:rsidRDefault="008A2813" w:rsidP="00424909">
      <w:pPr>
        <w:rPr>
          <w:b/>
          <w:bCs/>
          <w:szCs w:val="20"/>
        </w:rPr>
      </w:pPr>
      <w:r w:rsidRPr="00424909">
        <w:rPr>
          <w:b/>
          <w:bCs/>
          <w:szCs w:val="20"/>
        </w:rPr>
        <w:t>(b) identify the immediate and long-term measures to prevent gender based violence, with the focus on behavioural change for future generations</w:t>
      </w:r>
    </w:p>
    <w:p w14:paraId="6A7CC2F3" w14:textId="4E334D16" w:rsidR="008A2813" w:rsidRPr="004D1655" w:rsidRDefault="006C2A3A" w:rsidP="008A2813">
      <w:pPr>
        <w:rPr>
          <w:szCs w:val="20"/>
        </w:rPr>
      </w:pPr>
      <w:r>
        <w:rPr>
          <w:szCs w:val="20"/>
        </w:rPr>
        <w:t xml:space="preserve">There are three key pillars which can support prevention of gender based violence and behavioural change: </w:t>
      </w:r>
      <w:r w:rsidR="008A2813" w:rsidRPr="002B1A3B">
        <w:rPr>
          <w:b/>
          <w:bCs/>
          <w:szCs w:val="20"/>
        </w:rPr>
        <w:t>Immediate assistance for victims</w:t>
      </w:r>
      <w:r w:rsidR="008A2813" w:rsidRPr="004D1655">
        <w:rPr>
          <w:szCs w:val="20"/>
        </w:rPr>
        <w:t xml:space="preserve"> relies on having well-resourced and dedicated police</w:t>
      </w:r>
      <w:r w:rsidR="002E3E68">
        <w:rPr>
          <w:szCs w:val="20"/>
        </w:rPr>
        <w:t xml:space="preserve"> (and wher</w:t>
      </w:r>
      <w:r w:rsidR="002E25C8">
        <w:rPr>
          <w:szCs w:val="20"/>
        </w:rPr>
        <w:t>ever possible, a police run emergency toll-free telephone line (Putt et al 2020))</w:t>
      </w:r>
      <w:r w:rsidR="008A2813" w:rsidRPr="004D1655">
        <w:rPr>
          <w:szCs w:val="20"/>
        </w:rPr>
        <w:t xml:space="preserve">, and </w:t>
      </w:r>
      <w:r>
        <w:rPr>
          <w:szCs w:val="20"/>
        </w:rPr>
        <w:t xml:space="preserve">access to </w:t>
      </w:r>
      <w:r w:rsidR="008A2813" w:rsidRPr="004D1655">
        <w:rPr>
          <w:szCs w:val="20"/>
        </w:rPr>
        <w:t xml:space="preserve">safe houses. </w:t>
      </w:r>
      <w:r w:rsidR="008A2813" w:rsidRPr="002B1A3B">
        <w:rPr>
          <w:b/>
          <w:bCs/>
          <w:szCs w:val="20"/>
        </w:rPr>
        <w:t>Holding perpetrators to account</w:t>
      </w:r>
      <w:r w:rsidR="008A2813" w:rsidRPr="004D1655">
        <w:rPr>
          <w:szCs w:val="20"/>
        </w:rPr>
        <w:t xml:space="preserve"> by ensuring that matters are pursued through the formal justice sector is at the heart of efforts to bring about behavioural change.  The other pillar of change is </w:t>
      </w:r>
      <w:r w:rsidR="008A2813" w:rsidRPr="002B1A3B">
        <w:rPr>
          <w:b/>
          <w:bCs/>
          <w:szCs w:val="20"/>
        </w:rPr>
        <w:t>prevention, and activities that promote awareness</w:t>
      </w:r>
      <w:r w:rsidR="008A2813" w:rsidRPr="004D1655">
        <w:rPr>
          <w:szCs w:val="20"/>
        </w:rPr>
        <w:t xml:space="preserve"> and understanding of individual and collective rights, the law, justice, and protection. Below is a list of findings that can contribute to the three-pillared approach.</w:t>
      </w:r>
    </w:p>
    <w:p w14:paraId="4F4FCFB9" w14:textId="0BF449A2" w:rsidR="008A2813" w:rsidRPr="004D1655" w:rsidRDefault="008A2813" w:rsidP="004D1655">
      <w:pPr>
        <w:pStyle w:val="Heading3"/>
      </w:pPr>
      <w:r w:rsidRPr="004D1655">
        <w:t>Awareness and attitudes</w:t>
      </w:r>
    </w:p>
    <w:p w14:paraId="43E0D82E" w14:textId="77777777" w:rsidR="008A2813" w:rsidRPr="002E3E68" w:rsidRDefault="008A2813" w:rsidP="008A2813">
      <w:pPr>
        <w:rPr>
          <w:szCs w:val="20"/>
        </w:rPr>
      </w:pPr>
      <w:r w:rsidRPr="004D1655">
        <w:rPr>
          <w:szCs w:val="20"/>
        </w:rPr>
        <w:t>There are many factors that can contribute to behavioural change, and it is notoriously difficult to assess the impact of public awareness and community education campaigns. Certainly, efforts to communicate the message that domestic violence is a crime was strengthened by the passing of the Family Protection Act, which clearly defines and creates the specific offence of domestic violence</w:t>
      </w:r>
      <w:r w:rsidRPr="004D1655">
        <w:rPr>
          <w:rStyle w:val="FootnoteReference"/>
          <w:szCs w:val="20"/>
        </w:rPr>
        <w:footnoteReference w:id="1"/>
      </w:r>
      <w:r w:rsidRPr="004D1655">
        <w:rPr>
          <w:szCs w:val="20"/>
        </w:rPr>
        <w:t>, and the dissemination of information by multiple stakeholders. Conducted in 2019-20, a survey of young adults in Lae and Port Moresby indicates that the majority (92%) knew there was a crime called a domestic violence offence, that both men and women agree on the type of behaviours that constitute domestic violence, and that a significant number of respondents thought family protection orders only applied to women and children (Putt, Milli and Essacu 2021). Importantly, given what our research shows about the effectiveness of family protection orders (see below), 33% knew about interim protection orders (IPOs</w:t>
      </w:r>
      <w:r w:rsidRPr="002E3E68">
        <w:rPr>
          <w:szCs w:val="20"/>
        </w:rPr>
        <w:t>). The results from the young adults’ survey do underline the need to tailor community education and awareness activities for different groups in different settings, including young adults.</w:t>
      </w:r>
    </w:p>
    <w:p w14:paraId="23D22CBD" w14:textId="77777777" w:rsidR="008A2813" w:rsidRPr="002E3E68" w:rsidRDefault="008A2813" w:rsidP="008A2813">
      <w:pPr>
        <w:rPr>
          <w:szCs w:val="20"/>
        </w:rPr>
      </w:pPr>
      <w:r w:rsidRPr="002E3E68">
        <w:rPr>
          <w:szCs w:val="20"/>
        </w:rPr>
        <w:t xml:space="preserve">Based on previous large scale surveys conducted on law and justice topics in 2015 and 2018, there is now more public awareness of IPOs, with approximately one-fifth of the population having heard of IPOs in 2018. </w:t>
      </w:r>
    </w:p>
    <w:p w14:paraId="510B01D6" w14:textId="4207F8C6" w:rsidR="008A2813" w:rsidRPr="002E3E68" w:rsidRDefault="008A2813" w:rsidP="004D1655">
      <w:pPr>
        <w:pStyle w:val="Heading3"/>
      </w:pPr>
      <w:r w:rsidRPr="002E3E68">
        <w:t>Civil protection orders</w:t>
      </w:r>
    </w:p>
    <w:p w14:paraId="2E524AE8" w14:textId="77777777" w:rsidR="008A2813" w:rsidRPr="002E3E68" w:rsidRDefault="008A2813" w:rsidP="008A2813">
      <w:pPr>
        <w:rPr>
          <w:szCs w:val="20"/>
        </w:rPr>
      </w:pPr>
      <w:r w:rsidRPr="002E3E68">
        <w:rPr>
          <w:szCs w:val="20"/>
        </w:rPr>
        <w:t>The advantage of family protection orders is that they can be issued promptly, upon application from the victim and that conditions can be sought that suit the circumstances of the applicant. Our research shows a high degree of compliance of the orders (in 70% of cases, according to women we interviewed), and that perpetrators behaviour did change in the short term with the issuing of an interim protection order (IPO). The majority of women (81%) who had an IPO issued, did feel safer as a result. However, not many of the women we interviewed, and some justice practitioners, were not aware that longer-term protection orders (POs) of up to two years can be issued by the District Court. For behavioural change to occur, it is important to increase awareness and understanding of the POs, and the process by which they can be obtained. We also argue for targeted resourcing to improve access to FPOs, with for example, the employment of more District Court magistrates and IPO clerks.</w:t>
      </w:r>
    </w:p>
    <w:p w14:paraId="261069CB" w14:textId="46DF8BC9" w:rsidR="008A2813" w:rsidRPr="002E3E68" w:rsidRDefault="008A2813" w:rsidP="004D1655">
      <w:pPr>
        <w:pStyle w:val="Heading3"/>
      </w:pPr>
      <w:r w:rsidRPr="002E3E68">
        <w:t>Criminal justice response</w:t>
      </w:r>
    </w:p>
    <w:p w14:paraId="5EB75D79" w14:textId="69F69937" w:rsidR="008A2813" w:rsidRPr="002E3E68" w:rsidRDefault="008A2813" w:rsidP="008A2813">
      <w:pPr>
        <w:rPr>
          <w:szCs w:val="20"/>
        </w:rPr>
      </w:pPr>
      <w:r w:rsidRPr="002E3E68">
        <w:rPr>
          <w:szCs w:val="20"/>
        </w:rPr>
        <w:t xml:space="preserve">Specialist family and sexual violence (FSV) units have been introduced in PNG into key justice sectors. It is a great advantage to have such expertise and sensitivity to the plight of the victim, but can result in FSV being marginalised and viewed as largely the purview of female police officers and court officials. Data collected from a range of the specialist police units – the Family and Sexual Violence Units (FSVUs) – indicate that </w:t>
      </w:r>
      <w:r w:rsidR="00D178A6" w:rsidRPr="002E3E68">
        <w:rPr>
          <w:szCs w:val="20"/>
        </w:rPr>
        <w:t xml:space="preserve">only </w:t>
      </w:r>
      <w:r w:rsidRPr="002E3E68">
        <w:rPr>
          <w:szCs w:val="20"/>
        </w:rPr>
        <w:t xml:space="preserve">10% of cases result in arrests being made by FSVU officers. </w:t>
      </w:r>
    </w:p>
    <w:p w14:paraId="3B89C4CC" w14:textId="09027F48" w:rsidR="008A2813" w:rsidRPr="002E3E68" w:rsidRDefault="008A2813" w:rsidP="008A2813">
      <w:pPr>
        <w:rPr>
          <w:szCs w:val="20"/>
        </w:rPr>
      </w:pPr>
      <w:r w:rsidRPr="002E3E68">
        <w:rPr>
          <w:szCs w:val="20"/>
        </w:rPr>
        <w:lastRenderedPageBreak/>
        <w:t xml:space="preserve">Although there were indications that police were increasingly likely in some locations to charge using the domestic violence offence, its use remains low and we rarely encountered charges of breaches of family protection orders (IPOs or POs) being laid.  </w:t>
      </w:r>
    </w:p>
    <w:p w14:paraId="2F4F97C8" w14:textId="07D88033" w:rsidR="008A2813" w:rsidRPr="002E3E68" w:rsidRDefault="008A2813" w:rsidP="008A2813">
      <w:pPr>
        <w:rPr>
          <w:szCs w:val="20"/>
        </w:rPr>
      </w:pPr>
      <w:r w:rsidRPr="002E3E68">
        <w:rPr>
          <w:szCs w:val="20"/>
        </w:rPr>
        <w:t xml:space="preserve">It is critical to acknowledge, however that other violent offences such as assault or threatening behaviour, may involve domestic and/or family violence (see Appendix A for </w:t>
      </w:r>
      <w:r w:rsidR="00D178A6" w:rsidRPr="002E3E68">
        <w:rPr>
          <w:szCs w:val="20"/>
        </w:rPr>
        <w:t xml:space="preserve">a </w:t>
      </w:r>
      <w:r w:rsidRPr="002E3E68">
        <w:rPr>
          <w:szCs w:val="20"/>
        </w:rPr>
        <w:t xml:space="preserve">list of offences that may include or relate to domestic, family or sexual violence). Arrest rates by police are not high (approximately 50% in 2012) across a range of offences. </w:t>
      </w:r>
    </w:p>
    <w:p w14:paraId="1B7EAD0C" w14:textId="77777777" w:rsidR="008A2813" w:rsidRPr="002E3E68" w:rsidRDefault="008A2813" w:rsidP="008A2813">
      <w:pPr>
        <w:rPr>
          <w:szCs w:val="20"/>
        </w:rPr>
      </w:pPr>
      <w:r w:rsidRPr="002E3E68">
        <w:rPr>
          <w:szCs w:val="20"/>
        </w:rPr>
        <w:t xml:space="preserve">A study undertaken in the Boroko District Court showed that at least half of new listings related to domestic violence. However, the study found poor outcomes due to police failing to execute bench warrants of arrest, and defendants and complainants failing to appear (Ganaii et al. 2021). </w:t>
      </w:r>
    </w:p>
    <w:p w14:paraId="65C17395" w14:textId="07F2802C" w:rsidR="008A2813" w:rsidRPr="002E3E68" w:rsidRDefault="008A2813" w:rsidP="008A2813">
      <w:pPr>
        <w:rPr>
          <w:szCs w:val="20"/>
        </w:rPr>
      </w:pPr>
      <w:r w:rsidRPr="002E3E68">
        <w:rPr>
          <w:szCs w:val="20"/>
        </w:rPr>
        <w:t>In the National Court, where there is a specialist FSV office</w:t>
      </w:r>
      <w:r w:rsidR="008D0B30">
        <w:rPr>
          <w:szCs w:val="20"/>
        </w:rPr>
        <w:t xml:space="preserve">, the Family and Sexual Offences office </w:t>
      </w:r>
      <w:r w:rsidRPr="002E3E68">
        <w:rPr>
          <w:szCs w:val="20"/>
        </w:rPr>
        <w:t>(FASO) in the Office of Public Prosecutor, there are better outcomes than what might be found without the FASO. Having said this, we estimated that approximately 6% of sexual offences reported to police were successfully prosecuted through the courts in Port Moresby. Even though globally the rates of prosecution and conviction for sexual offences are low, this estimate suggests the situation is especially dire in PNG.</w:t>
      </w:r>
    </w:p>
    <w:p w14:paraId="497C0D3F" w14:textId="21245A05" w:rsidR="008A2813" w:rsidRPr="002E3E68" w:rsidRDefault="008A2813" w:rsidP="008A2813">
      <w:pPr>
        <w:rPr>
          <w:szCs w:val="20"/>
        </w:rPr>
      </w:pPr>
      <w:r w:rsidRPr="002E3E68">
        <w:rPr>
          <w:szCs w:val="20"/>
        </w:rPr>
        <w:t>The principal critiques of the criminal justice system relate to lack of enforcement, few successful prosecutions of FSV offences</w:t>
      </w:r>
      <w:r w:rsidR="008D0B30">
        <w:rPr>
          <w:szCs w:val="20"/>
        </w:rPr>
        <w:t>, and lack of access for many, particularly in rural areas</w:t>
      </w:r>
      <w:r w:rsidRPr="002E3E68">
        <w:rPr>
          <w:szCs w:val="20"/>
        </w:rPr>
        <w:t>. Increasing penalties will not make a difference – they are available already. Instead, our research would indicate that the key areas that need to be addressed, in addition to a significant investment in the formal justice sector, relate to:</w:t>
      </w:r>
    </w:p>
    <w:p w14:paraId="3714F5DD" w14:textId="77777777" w:rsidR="008A2813" w:rsidRPr="002E3E68" w:rsidRDefault="008A2813" w:rsidP="008A2813">
      <w:pPr>
        <w:pStyle w:val="ListParagraph"/>
        <w:numPr>
          <w:ilvl w:val="0"/>
          <w:numId w:val="21"/>
        </w:numPr>
        <w:spacing w:before="0" w:after="160" w:line="259" w:lineRule="auto"/>
        <w:rPr>
          <w:szCs w:val="20"/>
        </w:rPr>
      </w:pPr>
      <w:r w:rsidRPr="002E3E68">
        <w:rPr>
          <w:szCs w:val="20"/>
        </w:rPr>
        <w:t xml:space="preserve">Improving responses from frontline police, including by continuing to use the training workshop model employed by DJAG and JSS4D that involved all stakeholder groups in a local areas  </w:t>
      </w:r>
    </w:p>
    <w:p w14:paraId="3A29002B" w14:textId="77777777" w:rsidR="008A2813" w:rsidRPr="002E3E68" w:rsidRDefault="008A2813" w:rsidP="008A2813">
      <w:pPr>
        <w:pStyle w:val="ListParagraph"/>
        <w:numPr>
          <w:ilvl w:val="0"/>
          <w:numId w:val="21"/>
        </w:numPr>
        <w:spacing w:before="0" w:after="160" w:line="259" w:lineRule="auto"/>
        <w:rPr>
          <w:szCs w:val="20"/>
        </w:rPr>
      </w:pPr>
      <w:r w:rsidRPr="002E3E68">
        <w:rPr>
          <w:szCs w:val="20"/>
        </w:rPr>
        <w:t>Incorporating FSVUs in the RPNGC structure (which has recently occurred) and monitor to see what changes occur as a result</w:t>
      </w:r>
    </w:p>
    <w:p w14:paraId="51F84624" w14:textId="77777777" w:rsidR="008A2813" w:rsidRPr="002E3E68" w:rsidRDefault="008A2813" w:rsidP="008A2813">
      <w:pPr>
        <w:pStyle w:val="ListParagraph"/>
        <w:numPr>
          <w:ilvl w:val="0"/>
          <w:numId w:val="21"/>
        </w:numPr>
        <w:spacing w:before="0" w:after="160" w:line="259" w:lineRule="auto"/>
        <w:rPr>
          <w:szCs w:val="20"/>
        </w:rPr>
      </w:pPr>
      <w:r w:rsidRPr="002E3E68">
        <w:rPr>
          <w:szCs w:val="20"/>
        </w:rPr>
        <w:t>Specialisation in the District Court, with dedicated listings or specialist courts for family law, and civil and criminal FSV matters.</w:t>
      </w:r>
    </w:p>
    <w:p w14:paraId="3CA7A8B9" w14:textId="77777777" w:rsidR="008A2813" w:rsidRPr="002E3E68" w:rsidRDefault="008A2813" w:rsidP="008A2813">
      <w:pPr>
        <w:pStyle w:val="ListParagraph"/>
        <w:numPr>
          <w:ilvl w:val="0"/>
          <w:numId w:val="21"/>
        </w:numPr>
        <w:spacing w:before="0" w:after="160" w:line="259" w:lineRule="auto"/>
        <w:rPr>
          <w:szCs w:val="20"/>
        </w:rPr>
      </w:pPr>
      <w:r w:rsidRPr="002E3E68">
        <w:rPr>
          <w:szCs w:val="20"/>
        </w:rPr>
        <w:t>Encouraging the issuing of FPOs when FSV criminal matters are being dealt with, for example, when the case is adjourned or at sentencing.</w:t>
      </w:r>
    </w:p>
    <w:p w14:paraId="07008C4A" w14:textId="77777777" w:rsidR="008A2813" w:rsidRPr="002E3E68" w:rsidRDefault="008A2813" w:rsidP="008A2813">
      <w:pPr>
        <w:pStyle w:val="ListParagraph"/>
        <w:numPr>
          <w:ilvl w:val="0"/>
          <w:numId w:val="21"/>
        </w:numPr>
        <w:spacing w:before="0" w:after="160" w:line="259" w:lineRule="auto"/>
        <w:rPr>
          <w:szCs w:val="20"/>
        </w:rPr>
      </w:pPr>
      <w:r w:rsidRPr="002E3E68">
        <w:rPr>
          <w:szCs w:val="20"/>
        </w:rPr>
        <w:t>Appointing more magistrates and National Court judges to reduce the backlog in cases and reduce the pressure on existing officials</w:t>
      </w:r>
    </w:p>
    <w:p w14:paraId="3B62AC0C" w14:textId="0D3B6DD0" w:rsidR="006C2A3A" w:rsidRPr="002E3E68" w:rsidRDefault="008A2813" w:rsidP="006C2A3A">
      <w:pPr>
        <w:pStyle w:val="ListParagraph"/>
        <w:numPr>
          <w:ilvl w:val="0"/>
          <w:numId w:val="21"/>
        </w:numPr>
        <w:spacing w:before="0" w:after="160" w:line="259" w:lineRule="auto"/>
        <w:rPr>
          <w:szCs w:val="20"/>
        </w:rPr>
      </w:pPr>
      <w:r w:rsidRPr="002E3E68">
        <w:rPr>
          <w:szCs w:val="20"/>
        </w:rPr>
        <w:t>Recognising and supporting the critical role of victim support – work currently done by the NGO sector.  It appears, in the whole country, there is only two government sector victim support and liaison officers in the formal justice sector, who are employed by the FASO office in public prosecutions. Much more could be done to support victims, which makes it more likely that witnesses and victim will continue to appear and stay engaged in the formal justice process.</w:t>
      </w:r>
    </w:p>
    <w:p w14:paraId="558AA8D6" w14:textId="19A107C9" w:rsidR="008A2813" w:rsidRPr="002E3E68" w:rsidRDefault="008A2813" w:rsidP="004D1655">
      <w:pPr>
        <w:pStyle w:val="Heading3"/>
      </w:pPr>
      <w:r w:rsidRPr="002E3E68">
        <w:t>Local justice</w:t>
      </w:r>
    </w:p>
    <w:p w14:paraId="437BEAE4" w14:textId="498E071F" w:rsidR="008A2813" w:rsidRPr="002E3E68" w:rsidRDefault="008A2813" w:rsidP="008A2813">
      <w:pPr>
        <w:rPr>
          <w:szCs w:val="20"/>
        </w:rPr>
      </w:pPr>
      <w:r w:rsidRPr="002E3E68">
        <w:rPr>
          <w:szCs w:val="20"/>
        </w:rPr>
        <w:t xml:space="preserve">The formal justice sector has a limited presence in rural and remote areas, and even that typically consists of police posts with very limited resources. The Village Courts remain the most significant formal justice institution in such areas. In recognition of this, the FPA authorised the Village Courts to issue IPOs. However, our research indicates few Village Courts are issuing IPOs, as preventative orders </w:t>
      </w:r>
      <w:r w:rsidR="00D178A6" w:rsidRPr="002E3E68">
        <w:rPr>
          <w:szCs w:val="20"/>
        </w:rPr>
        <w:t xml:space="preserve">issued under the Village Courts Act </w:t>
      </w:r>
      <w:r w:rsidRPr="002E3E68">
        <w:rPr>
          <w:szCs w:val="20"/>
        </w:rPr>
        <w:t xml:space="preserve">are viewed as more powerful (can be issued for longer periods and can be enforced locally). Old statistics would suggest Village Courts often deal with cases of domestic and family violence, but there is no current, publicly available, data on what offences (under Village Court Act) are heard and on the outcomes from such cases. Research on more informal justice processes such as law and justice committees suggest women are often </w:t>
      </w:r>
      <w:r w:rsidR="00D22830" w:rsidRPr="002E3E68">
        <w:rPr>
          <w:szCs w:val="20"/>
        </w:rPr>
        <w:t xml:space="preserve">more </w:t>
      </w:r>
      <w:r w:rsidRPr="002E3E68">
        <w:rPr>
          <w:szCs w:val="20"/>
        </w:rPr>
        <w:t>sceptical than men that a fair process and determination will occur when a case relates to DFV.</w:t>
      </w:r>
    </w:p>
    <w:p w14:paraId="03EEFBCE" w14:textId="49E1FF4D" w:rsidR="008A2813" w:rsidRPr="002E3E68" w:rsidRDefault="008A2813" w:rsidP="008A2813">
      <w:pPr>
        <w:rPr>
          <w:szCs w:val="20"/>
        </w:rPr>
      </w:pPr>
      <w:r w:rsidRPr="002E3E68">
        <w:rPr>
          <w:szCs w:val="20"/>
        </w:rPr>
        <w:t>Our research results highlight the importance of Village Courts. To enable them to</w:t>
      </w:r>
      <w:r w:rsidR="008D0B30">
        <w:rPr>
          <w:szCs w:val="20"/>
        </w:rPr>
        <w:t xml:space="preserve"> use and</w:t>
      </w:r>
      <w:r w:rsidRPr="002E3E68">
        <w:rPr>
          <w:szCs w:val="20"/>
        </w:rPr>
        <w:t xml:space="preserve"> </w:t>
      </w:r>
      <w:r w:rsidR="008D0B30">
        <w:rPr>
          <w:szCs w:val="20"/>
        </w:rPr>
        <w:t xml:space="preserve">adopt </w:t>
      </w:r>
      <w:r w:rsidRPr="002E3E68">
        <w:rPr>
          <w:szCs w:val="20"/>
        </w:rPr>
        <w:t xml:space="preserve">consistent </w:t>
      </w:r>
      <w:r w:rsidR="008D0B30">
        <w:rPr>
          <w:szCs w:val="20"/>
        </w:rPr>
        <w:t>approaches to IPOs</w:t>
      </w:r>
      <w:r w:rsidRPr="002E3E68">
        <w:rPr>
          <w:szCs w:val="20"/>
        </w:rPr>
        <w:t xml:space="preserve"> across the country involves a) amendments to the Village Court Act</w:t>
      </w:r>
      <w:r w:rsidR="002E25C8" w:rsidRPr="002E3E68">
        <w:rPr>
          <w:szCs w:val="20"/>
        </w:rPr>
        <w:t xml:space="preserve"> to enable the courts to issue and enforce IPOs of a longer duration than that provided in the FPA </w:t>
      </w:r>
      <w:r w:rsidRPr="002E3E68">
        <w:rPr>
          <w:szCs w:val="20"/>
        </w:rPr>
        <w:t xml:space="preserve"> b) greater and reliable funding c) more female Village Court Magistrates, and d) accessible guidance notes explicitly for Village Court officials</w:t>
      </w:r>
    </w:p>
    <w:p w14:paraId="0DC91BCC" w14:textId="4632325E" w:rsidR="00424909" w:rsidRPr="002E3E68" w:rsidRDefault="00424909" w:rsidP="00424909">
      <w:pPr>
        <w:pStyle w:val="Heading2"/>
      </w:pPr>
      <w:bookmarkStart w:id="6" w:name="_Toc75947103"/>
      <w:r w:rsidRPr="002E3E68">
        <w:lastRenderedPageBreak/>
        <w:t>Term of Reference C</w:t>
      </w:r>
      <w:bookmarkEnd w:id="6"/>
    </w:p>
    <w:p w14:paraId="3F200DFD" w14:textId="77777777" w:rsidR="008A2813" w:rsidRPr="002E3E68" w:rsidRDefault="008A2813" w:rsidP="00424909">
      <w:pPr>
        <w:rPr>
          <w:b/>
          <w:bCs/>
          <w:szCs w:val="20"/>
        </w:rPr>
      </w:pPr>
      <w:r w:rsidRPr="002E3E68">
        <w:rPr>
          <w:b/>
          <w:bCs/>
          <w:szCs w:val="20"/>
        </w:rPr>
        <w:t>c) inquire into the level and impact of coordination and accountability for services and policy responses across the government departments, the Royal PNG Constabulary and related enforcement and prosecution services, the Courts, provincial and local government governments, non-government and community based organisations and the private sector.</w:t>
      </w:r>
    </w:p>
    <w:p w14:paraId="4BC5878A" w14:textId="77777777" w:rsidR="008A2813" w:rsidRPr="002E3E68" w:rsidRDefault="008A2813" w:rsidP="008A2813">
      <w:pPr>
        <w:rPr>
          <w:szCs w:val="20"/>
        </w:rPr>
      </w:pPr>
      <w:r w:rsidRPr="002E3E68">
        <w:rPr>
          <w:szCs w:val="20"/>
        </w:rPr>
        <w:t>Where a provincial Family and Sexual Violence Action Committee is functioning well it can improve coordination, by bringing together key stakeholders at regular intervals. Our research revealed considerable variability by location in how well local justice actors were responding to reports of domestic, family and sexual violence. Some of the variability is explained by differences in resources and equipment, but it also related to the attitudes of senior police and magistrates in an area. More could be done to assess the performance of people in such positions, and to reward those that demonstrate commitment to timely, impartial and compassionate justice.</w:t>
      </w:r>
    </w:p>
    <w:p w14:paraId="73EDA7CD" w14:textId="77777777" w:rsidR="008A2813" w:rsidRPr="002E3E68" w:rsidRDefault="008A2813" w:rsidP="008A2813">
      <w:pPr>
        <w:rPr>
          <w:szCs w:val="20"/>
        </w:rPr>
      </w:pPr>
      <w:r w:rsidRPr="002E3E68">
        <w:rPr>
          <w:szCs w:val="20"/>
        </w:rPr>
        <w:t>In terms of accountability, our research underlined how vital NGO services are, and the local networks that are supported by such services.  The client advocacy and local knowledge of specialist FSV services such as Femili PNG, Voice for Change, and the Nazareth Centre for Rehabilitation increases the likelihood of access to justice and positive outcomes for the victims, who are primarily women. These services share their resources where they can – for example, Femili PNG assists local justice partners with practical but vital supplies such as paper and ink.</w:t>
      </w:r>
    </w:p>
    <w:p w14:paraId="7F4B482C" w14:textId="77777777" w:rsidR="008A2813" w:rsidRPr="002E3E68" w:rsidRDefault="008A2813" w:rsidP="008A2813">
      <w:pPr>
        <w:rPr>
          <w:szCs w:val="20"/>
        </w:rPr>
      </w:pPr>
      <w:r w:rsidRPr="002E3E68">
        <w:rPr>
          <w:szCs w:val="20"/>
        </w:rPr>
        <w:t>These services also follow up on what is happening with particular cases. This is essential as there was very little evidence of communication within departments or between different justice agencies. A matter or case is ‘referred’ and for many, that is the end of the matter. Having victim liaison positions attached to District Courts will help tracking and therefore improve accountability and communication as cases progress through (or more probably languish in) the justice system.</w:t>
      </w:r>
    </w:p>
    <w:p w14:paraId="0237752B" w14:textId="2ED4F498" w:rsidR="00D12777" w:rsidRPr="002E3E68" w:rsidRDefault="00D12777" w:rsidP="00D12777">
      <w:pPr>
        <w:pStyle w:val="Heading2"/>
      </w:pPr>
      <w:bookmarkStart w:id="7" w:name="_Toc75946333"/>
      <w:bookmarkStart w:id="8" w:name="_Toc75947104"/>
      <w:r w:rsidRPr="002E3E68">
        <w:t xml:space="preserve">Term of Reference </w:t>
      </w:r>
      <w:bookmarkEnd w:id="7"/>
      <w:r w:rsidRPr="002E3E68">
        <w:t>D</w:t>
      </w:r>
      <w:bookmarkEnd w:id="8"/>
    </w:p>
    <w:p w14:paraId="061CC4FC" w14:textId="77777777" w:rsidR="008A2813" w:rsidRPr="002E3E68" w:rsidRDefault="008A2813" w:rsidP="00D12777">
      <w:pPr>
        <w:rPr>
          <w:b/>
          <w:bCs/>
          <w:szCs w:val="20"/>
        </w:rPr>
      </w:pPr>
      <w:r w:rsidRPr="002E3E68">
        <w:rPr>
          <w:b/>
          <w:bCs/>
          <w:szCs w:val="20"/>
        </w:rPr>
        <w:t>d) inquire into the adequacy of the evidence and prevalence data of gender based violence and how to overcome limitations in the collection of nationally consistent and timely data including, but not limited to court, police and hospitals</w:t>
      </w:r>
    </w:p>
    <w:p w14:paraId="18BDBAE9" w14:textId="1914D107" w:rsidR="008A2813" w:rsidRPr="002E3E68" w:rsidRDefault="008A2813" w:rsidP="008A2813">
      <w:pPr>
        <w:rPr>
          <w:szCs w:val="20"/>
        </w:rPr>
      </w:pPr>
      <w:r w:rsidRPr="002E3E68">
        <w:rPr>
          <w:szCs w:val="20"/>
        </w:rPr>
        <w:t>To build a national picture of gender based violence requires robust data from surveys, and from administrative records kept by key government services and in the non-government sector.  Prevalence data from surveys, although important to estimate the nature and extent of the FSV, and to track changes over time, are very costly and do not provide timely information. This is where administrative or client data, from the police, courts, family support centres, and specialist NGO services can be useful if kept well and extracted and analysed at regular intervals. For the project on family and sexual offences, we found that records were often kept but poorly and not consistently. We argue that the benefits of good record keeping and the routine collection of statistics need to be better understood by those who are responsible for record making and keeping</w:t>
      </w:r>
      <w:r w:rsidR="008D0B30">
        <w:rPr>
          <w:szCs w:val="20"/>
        </w:rPr>
        <w:t>., as well as by key decision-makers and policy makers throughout the criminal justice system</w:t>
      </w:r>
      <w:r w:rsidRPr="002E3E68">
        <w:rPr>
          <w:szCs w:val="20"/>
        </w:rPr>
        <w:t xml:space="preserve">. Costly technology based solutions supported by donor finance are not the answer, instead the investment should be in low cost, simple systems that can be implemented and maintained. </w:t>
      </w:r>
    </w:p>
    <w:p w14:paraId="41B83B6F" w14:textId="77777777" w:rsidR="008A2813" w:rsidRPr="002E3E68" w:rsidRDefault="008A2813" w:rsidP="008A2813">
      <w:pPr>
        <w:rPr>
          <w:szCs w:val="20"/>
        </w:rPr>
      </w:pPr>
      <w:r w:rsidRPr="002E3E68">
        <w:rPr>
          <w:szCs w:val="20"/>
        </w:rPr>
        <w:t>The appendix to our main report on FSV offences includes the tables and graphs of data we were able to obtain in our study sites or from national agencies (Putt and Dinnen 2020c). The executive summary lists the key findings based on this data (See Appendix B). The report’s recommendations were:</w:t>
      </w:r>
    </w:p>
    <w:p w14:paraId="53CCF368" w14:textId="77777777" w:rsidR="008A2813" w:rsidRPr="002E3E68" w:rsidRDefault="008A2813" w:rsidP="008A2813">
      <w:pPr>
        <w:ind w:left="720"/>
        <w:rPr>
          <w:szCs w:val="20"/>
        </w:rPr>
      </w:pPr>
      <w:r w:rsidRPr="002E3E68">
        <w:rPr>
          <w:szCs w:val="20"/>
        </w:rPr>
        <w:t xml:space="preserve">The system as a whole continues to struggle with demand and diminished and intermittent resources. The majority of challenges raised by stakeholders applied to all kinds of crime and not just FSV offences. Based on our consultations, the data and previous research undertaken at the Boroko District Court in Port Moresby (Ganaii, Putt and Dinnen 2021), several key themes most pertinent to FSV offences were identified. </w:t>
      </w:r>
    </w:p>
    <w:p w14:paraId="78A2ADB3" w14:textId="77777777" w:rsidR="008A2813" w:rsidRPr="002E3E68" w:rsidRDefault="008A2813" w:rsidP="008A2813">
      <w:pPr>
        <w:ind w:left="720"/>
        <w:rPr>
          <w:szCs w:val="20"/>
        </w:rPr>
      </w:pPr>
      <w:r w:rsidRPr="002E3E68">
        <w:rPr>
          <w:szCs w:val="20"/>
        </w:rPr>
        <w:t xml:space="preserve">Recommendations are made under three themes. </w:t>
      </w:r>
    </w:p>
    <w:p w14:paraId="13EEB2D4" w14:textId="77777777" w:rsidR="008A2813" w:rsidRPr="002E3E68" w:rsidRDefault="008A2813" w:rsidP="008A2813">
      <w:pPr>
        <w:ind w:left="720"/>
        <w:rPr>
          <w:szCs w:val="20"/>
        </w:rPr>
      </w:pPr>
      <w:r w:rsidRPr="002E3E68">
        <w:rPr>
          <w:szCs w:val="20"/>
          <w:u w:val="single"/>
        </w:rPr>
        <w:lastRenderedPageBreak/>
        <w:t>Improving the efficiency and effectiveness of the criminal justice system</w:t>
      </w:r>
      <w:r w:rsidRPr="002E3E68">
        <w:rPr>
          <w:szCs w:val="20"/>
        </w:rPr>
        <w:t>. Broadly defined, to improve the effectiveness and efficiency of criminal justice responses to FSV offences it is recommended that future efforts focus on:</w:t>
      </w:r>
    </w:p>
    <w:p w14:paraId="474F19CD" w14:textId="77777777" w:rsidR="008A2813" w:rsidRPr="002E3E68" w:rsidRDefault="008A2813" w:rsidP="008A2813">
      <w:pPr>
        <w:pStyle w:val="ListParagraph"/>
        <w:numPr>
          <w:ilvl w:val="0"/>
          <w:numId w:val="22"/>
        </w:numPr>
        <w:spacing w:before="0" w:after="160" w:line="259" w:lineRule="auto"/>
        <w:rPr>
          <w:szCs w:val="20"/>
        </w:rPr>
      </w:pPr>
      <w:r w:rsidRPr="002E3E68">
        <w:rPr>
          <w:szCs w:val="20"/>
        </w:rPr>
        <w:t xml:space="preserve">Continued training in and awareness raising about FSV offences, but that further thought be given to coordination with agencies that sponsor similar activities and ‘train the trainer’ models. </w:t>
      </w:r>
    </w:p>
    <w:p w14:paraId="409D9C73" w14:textId="77777777" w:rsidR="008A2813" w:rsidRPr="002E3E68" w:rsidRDefault="008A2813" w:rsidP="008A2813">
      <w:pPr>
        <w:pStyle w:val="ListParagraph"/>
        <w:numPr>
          <w:ilvl w:val="0"/>
          <w:numId w:val="22"/>
        </w:numPr>
        <w:spacing w:before="0" w:after="160" w:line="259" w:lineRule="auto"/>
        <w:rPr>
          <w:szCs w:val="20"/>
        </w:rPr>
      </w:pPr>
      <w:r w:rsidRPr="002E3E68">
        <w:rPr>
          <w:szCs w:val="20"/>
        </w:rPr>
        <w:t xml:space="preserve">Improving communication flows about the progress of cases and their outcomes, within police, between criminal justice agencies and with NGO service providers. </w:t>
      </w:r>
    </w:p>
    <w:p w14:paraId="7987AC7C" w14:textId="77777777" w:rsidR="008A2813" w:rsidRPr="002E3E68" w:rsidRDefault="008A2813" w:rsidP="008A2813">
      <w:pPr>
        <w:pStyle w:val="ListParagraph"/>
        <w:numPr>
          <w:ilvl w:val="0"/>
          <w:numId w:val="22"/>
        </w:numPr>
        <w:spacing w:before="0" w:after="160" w:line="259" w:lineRule="auto"/>
        <w:rPr>
          <w:szCs w:val="20"/>
        </w:rPr>
      </w:pPr>
      <w:r w:rsidRPr="002E3E68">
        <w:rPr>
          <w:szCs w:val="20"/>
        </w:rPr>
        <w:t xml:space="preserve">Contributing to key areas of police capacity, namely the mainstreaming of FSVUs within the RPNGC, and a criminal histories database. </w:t>
      </w:r>
    </w:p>
    <w:p w14:paraId="64F1008A" w14:textId="77777777" w:rsidR="008A2813" w:rsidRPr="002E3E68" w:rsidRDefault="008A2813" w:rsidP="008A2813">
      <w:pPr>
        <w:pStyle w:val="ListParagraph"/>
        <w:numPr>
          <w:ilvl w:val="0"/>
          <w:numId w:val="22"/>
        </w:numPr>
        <w:spacing w:before="0" w:after="160" w:line="259" w:lineRule="auto"/>
        <w:rPr>
          <w:szCs w:val="20"/>
        </w:rPr>
      </w:pPr>
      <w:r w:rsidRPr="002E3E68">
        <w:rPr>
          <w:szCs w:val="20"/>
        </w:rPr>
        <w:t xml:space="preserve">Exploring ways to fast-track or prioritise FSV offences within court systems, and the introduction of dedicated listings and specialist magistrates. </w:t>
      </w:r>
    </w:p>
    <w:p w14:paraId="0CAE92C4" w14:textId="77777777" w:rsidR="008A2813" w:rsidRPr="002E3E68" w:rsidRDefault="008A2813" w:rsidP="008A2813">
      <w:pPr>
        <w:pStyle w:val="ListParagraph"/>
        <w:numPr>
          <w:ilvl w:val="0"/>
          <w:numId w:val="22"/>
        </w:numPr>
        <w:spacing w:before="0" w:after="160" w:line="259" w:lineRule="auto"/>
        <w:rPr>
          <w:szCs w:val="20"/>
        </w:rPr>
      </w:pPr>
      <w:r w:rsidRPr="002E3E68">
        <w:rPr>
          <w:szCs w:val="20"/>
        </w:rPr>
        <w:t xml:space="preserve">Fostering and supporting FSV champions and peer mentoring within criminal justice agencies. </w:t>
      </w:r>
    </w:p>
    <w:p w14:paraId="20411A82" w14:textId="77777777" w:rsidR="008A2813" w:rsidRPr="002E3E68" w:rsidRDefault="008A2813" w:rsidP="008A2813">
      <w:pPr>
        <w:ind w:left="720"/>
        <w:rPr>
          <w:szCs w:val="20"/>
        </w:rPr>
      </w:pPr>
      <w:r w:rsidRPr="002E3E68">
        <w:rPr>
          <w:szCs w:val="20"/>
          <w:u w:val="single"/>
        </w:rPr>
        <w:t>Victim support, advocacy and protection to reduce attrition at each stage of the system</w:t>
      </w:r>
      <w:r w:rsidRPr="002E3E68">
        <w:rPr>
          <w:szCs w:val="20"/>
        </w:rPr>
        <w:t xml:space="preserve">. It is recommended that activities and programs be developed that improve the support, advocacy and protection for FSV victims within the criminal justice system to assist in reducing rates of withdrawal and dismissals. Complementary or integral to these programs and activities there should be more education on legal literacy, and on the criminal justice system, provided for FSV victims and their families. </w:t>
      </w:r>
    </w:p>
    <w:p w14:paraId="7CA2B4A1" w14:textId="545175B0" w:rsidR="008A2813" w:rsidRPr="004D1655" w:rsidRDefault="008A2813" w:rsidP="008A2813">
      <w:pPr>
        <w:ind w:left="720"/>
        <w:rPr>
          <w:szCs w:val="20"/>
          <w:u w:val="single"/>
        </w:rPr>
      </w:pPr>
      <w:r w:rsidRPr="002E3E68">
        <w:rPr>
          <w:szCs w:val="20"/>
          <w:u w:val="single"/>
        </w:rPr>
        <w:t>Record keeping and collating statistics to assist with monitoring and review.</w:t>
      </w:r>
      <w:r w:rsidRPr="002E3E68">
        <w:rPr>
          <w:szCs w:val="20"/>
        </w:rPr>
        <w:t xml:space="preserve"> Further work should be undertaken on designing and implementing a crime and justice statistical collection that is affordable, sustainable and feasible. Integral to this will be clearly articulating the purpose for and practical approaches to enable consistent and reliable record keeping and the storage of data. This work should align with the aims of the National Strategy to Prevent and Respond to Gender Based Violence 2016–2025, and promote the sharing of uniform and useful information (Putt and Dinnen 2020b: p12-13)</w:t>
      </w:r>
      <w:r w:rsidR="002E3E68">
        <w:rPr>
          <w:szCs w:val="20"/>
        </w:rPr>
        <w:t>.</w:t>
      </w:r>
    </w:p>
    <w:p w14:paraId="0361B5CF" w14:textId="77777777" w:rsidR="008A2813" w:rsidRPr="0041189D" w:rsidRDefault="008A2813" w:rsidP="008A2813">
      <w:pPr>
        <w:pStyle w:val="Heading1"/>
      </w:pPr>
      <w:bookmarkStart w:id="9" w:name="_Toc75947106"/>
      <w:r w:rsidRPr="0041189D">
        <w:t xml:space="preserve">Relevant </w:t>
      </w:r>
      <w:r>
        <w:t xml:space="preserve">DPA reports, </w:t>
      </w:r>
      <w:r w:rsidRPr="0041189D">
        <w:t>papers</w:t>
      </w:r>
      <w:r>
        <w:t xml:space="preserve"> and other material</w:t>
      </w:r>
      <w:bookmarkEnd w:id="9"/>
    </w:p>
    <w:p w14:paraId="4B5AA2E9" w14:textId="77777777" w:rsidR="008A2813" w:rsidRPr="004D1655" w:rsidRDefault="008A2813" w:rsidP="004D1655">
      <w:pPr>
        <w:pStyle w:val="Heading2"/>
      </w:pPr>
      <w:bookmarkStart w:id="10" w:name="_Toc75947107"/>
      <w:r w:rsidRPr="004D1655">
        <w:t>Family and sexual violence offences</w:t>
      </w:r>
      <w:bookmarkEnd w:id="10"/>
    </w:p>
    <w:p w14:paraId="6F2895B7" w14:textId="77777777" w:rsidR="008A2813" w:rsidRPr="004D1655" w:rsidRDefault="008A2813" w:rsidP="004D1655">
      <w:r w:rsidRPr="004D1655">
        <w:t xml:space="preserve">Ganaii T, Putt J and Dinnen S 2021 ‘Domestic Violence in Papua New Guinea: A Case Study from Boroko District Court, Port Moresby’, </w:t>
      </w:r>
      <w:r w:rsidRPr="004D1655">
        <w:rPr>
          <w:b/>
          <w:i/>
        </w:rPr>
        <w:t>In Brief</w:t>
      </w:r>
      <w:r w:rsidRPr="004D1655">
        <w:t xml:space="preserve"> 2021/15 </w:t>
      </w:r>
      <w:hyperlink r:id="rId15" w:history="1">
        <w:r w:rsidRPr="004D1655">
          <w:rPr>
            <w:color w:val="BE830E" w:themeColor="accent1"/>
            <w:u w:val="single"/>
          </w:rPr>
          <w:t>IB 2021/15 Domestic Violence in Papua New Guinea: A Case Study from Boroko District Court, Port Moresby | Department of Pacific Affairs (anu.edu.au)</w:t>
        </w:r>
      </w:hyperlink>
    </w:p>
    <w:p w14:paraId="03047BDB" w14:textId="77777777" w:rsidR="008A2813" w:rsidRPr="004D1655" w:rsidRDefault="008A2813" w:rsidP="004D1655">
      <w:pPr>
        <w:rPr>
          <w:rFonts w:cstheme="minorHAnsi"/>
          <w:szCs w:val="20"/>
        </w:rPr>
      </w:pPr>
      <w:r w:rsidRPr="004D1655">
        <w:rPr>
          <w:rFonts w:cstheme="minorHAnsi"/>
          <w:szCs w:val="20"/>
        </w:rPr>
        <w:t xml:space="preserve">Putt J 2021 Helping Family and Sexual Violence Survivors in Papua New Guinea: Evaluation of Femili PNG, Lae Operations 2014-2020, </w:t>
      </w:r>
      <w:r w:rsidRPr="004D1655">
        <w:rPr>
          <w:rFonts w:cstheme="minorHAnsi"/>
          <w:b/>
          <w:i/>
          <w:szCs w:val="20"/>
        </w:rPr>
        <w:t>Research Report</w:t>
      </w:r>
      <w:r w:rsidRPr="004D1655">
        <w:rPr>
          <w:rFonts w:cstheme="minorHAnsi"/>
          <w:szCs w:val="20"/>
        </w:rPr>
        <w:t xml:space="preserve">, </w:t>
      </w:r>
      <w:hyperlink r:id="rId16" w:history="1">
        <w:r w:rsidRPr="004D1655">
          <w:rPr>
            <w:rFonts w:cstheme="minorHAnsi"/>
            <w:color w:val="BE830E" w:themeColor="accent1"/>
            <w:szCs w:val="20"/>
            <w:u w:val="single"/>
          </w:rPr>
          <w:t>Helping Family and Sexual Violence Survivors in Papua New Guinea: Evaluation of Femili PNG, Lae Operations 2014-2020 | Department of Pacific Affairs (anu.edu.au)</w:t>
        </w:r>
      </w:hyperlink>
    </w:p>
    <w:p w14:paraId="5E102319" w14:textId="77777777" w:rsidR="008A2813" w:rsidRPr="004D1655" w:rsidRDefault="008A2813" w:rsidP="004D1655">
      <w:pPr>
        <w:rPr>
          <w:rFonts w:cstheme="minorHAnsi"/>
          <w:color w:val="0000FF"/>
          <w:szCs w:val="20"/>
          <w:u w:val="single"/>
        </w:rPr>
      </w:pPr>
      <w:r w:rsidRPr="004D1655">
        <w:rPr>
          <w:rFonts w:cstheme="minorHAnsi"/>
          <w:szCs w:val="20"/>
        </w:rPr>
        <w:t xml:space="preserve">Putt and Dinnen 2020a ‘Sexual Violence Against Children in Papua New Guinea: What the Criminal Justice Data Tells Us’, </w:t>
      </w:r>
      <w:r w:rsidRPr="004D1655">
        <w:rPr>
          <w:rFonts w:cstheme="minorHAnsi"/>
          <w:b/>
          <w:i/>
          <w:szCs w:val="20"/>
        </w:rPr>
        <w:t>In Brief</w:t>
      </w:r>
      <w:r w:rsidRPr="004D1655">
        <w:rPr>
          <w:rFonts w:cstheme="minorHAnsi"/>
          <w:b/>
          <w:szCs w:val="20"/>
        </w:rPr>
        <w:t xml:space="preserve">  </w:t>
      </w:r>
      <w:r w:rsidRPr="004D1655">
        <w:rPr>
          <w:rFonts w:cstheme="minorHAnsi"/>
          <w:szCs w:val="20"/>
        </w:rPr>
        <w:t xml:space="preserve">2020/23 </w:t>
      </w:r>
      <w:hyperlink r:id="rId17" w:history="1">
        <w:r w:rsidRPr="004D1655">
          <w:rPr>
            <w:rFonts w:cstheme="minorHAnsi"/>
            <w:color w:val="BE830E" w:themeColor="accent1"/>
            <w:szCs w:val="20"/>
            <w:u w:val="single"/>
          </w:rPr>
          <w:t>IB 2020/23 Sexual Violence Against Children in Papua New Guinea: What the Criminal Justice Data Tells Us | Department of Pacific Affairs (anu.edu.au)</w:t>
        </w:r>
      </w:hyperlink>
    </w:p>
    <w:p w14:paraId="2C1F6C2C" w14:textId="77777777" w:rsidR="008A2813" w:rsidRPr="004D1655" w:rsidRDefault="008A2813" w:rsidP="004D1655">
      <w:pPr>
        <w:rPr>
          <w:rFonts w:cstheme="minorHAnsi"/>
          <w:bCs/>
          <w:color w:val="000000"/>
          <w:szCs w:val="20"/>
        </w:rPr>
      </w:pPr>
      <w:r w:rsidRPr="004D1655">
        <w:rPr>
          <w:rFonts w:cstheme="minorHAnsi"/>
          <w:bCs/>
          <w:color w:val="000000"/>
          <w:szCs w:val="20"/>
        </w:rPr>
        <w:t xml:space="preserve">Putt J and Dinnen S 2020b Reporting, Investigating and Prosecuting Family and Sexual Violence Offences in Papua New Guinea, </w:t>
      </w:r>
      <w:r w:rsidRPr="004D1655">
        <w:rPr>
          <w:rFonts w:cstheme="minorHAnsi"/>
          <w:b/>
          <w:bCs/>
          <w:i/>
          <w:color w:val="000000"/>
          <w:szCs w:val="20"/>
        </w:rPr>
        <w:t>Research Report</w:t>
      </w:r>
      <w:r w:rsidRPr="004D1655">
        <w:rPr>
          <w:rFonts w:cstheme="minorHAnsi"/>
          <w:bCs/>
          <w:color w:val="000000"/>
          <w:szCs w:val="20"/>
        </w:rPr>
        <w:t xml:space="preserve">, </w:t>
      </w:r>
      <w:hyperlink r:id="rId18" w:history="1">
        <w:r w:rsidRPr="004D1655">
          <w:rPr>
            <w:rFonts w:cstheme="minorHAnsi"/>
            <w:color w:val="BE830E" w:themeColor="accent1"/>
            <w:szCs w:val="20"/>
            <w:u w:val="single"/>
          </w:rPr>
          <w:t>Reporting, Investigating and Prosecuting Family and Sexual Violence Offences in Papua New Guinea | Department of Pacific Affairs (anu.edu.au)</w:t>
        </w:r>
      </w:hyperlink>
      <w:r w:rsidRPr="004D1655">
        <w:rPr>
          <w:rFonts w:eastAsia="Times New Roman" w:cstheme="minorHAnsi"/>
          <w:color w:val="BE830E" w:themeColor="accent1"/>
          <w:spacing w:val="2"/>
          <w:kern w:val="36"/>
          <w:szCs w:val="20"/>
          <w:lang w:eastAsia="en-AU"/>
        </w:rPr>
        <w:t xml:space="preserve"> </w:t>
      </w:r>
    </w:p>
    <w:p w14:paraId="4C85A8A7" w14:textId="77777777" w:rsidR="008A2813" w:rsidRPr="004D1655" w:rsidRDefault="008A2813" w:rsidP="004D1655">
      <w:pPr>
        <w:rPr>
          <w:rFonts w:cstheme="minorHAnsi"/>
          <w:bCs/>
          <w:color w:val="000000"/>
          <w:szCs w:val="20"/>
        </w:rPr>
      </w:pPr>
      <w:r w:rsidRPr="004D1655">
        <w:rPr>
          <w:rFonts w:cstheme="minorHAnsi"/>
          <w:bCs/>
          <w:color w:val="000000"/>
          <w:szCs w:val="20"/>
        </w:rPr>
        <w:t xml:space="preserve">Putt J and Dinnen S 2020c Additional data - Reporting, Investigating and Prosecuting Family and Sexual Violence Offences in Papua New Guinea, </w:t>
      </w:r>
      <w:r w:rsidRPr="004D1655">
        <w:rPr>
          <w:rFonts w:cstheme="minorHAnsi"/>
          <w:b/>
          <w:bCs/>
          <w:i/>
          <w:color w:val="000000"/>
          <w:szCs w:val="20"/>
        </w:rPr>
        <w:t>Research paper</w:t>
      </w:r>
      <w:r w:rsidRPr="004D1655">
        <w:rPr>
          <w:rFonts w:cstheme="minorHAnsi"/>
          <w:bCs/>
          <w:color w:val="000000"/>
          <w:szCs w:val="20"/>
        </w:rPr>
        <w:t xml:space="preserve">, </w:t>
      </w:r>
      <w:hyperlink r:id="rId19" w:history="1">
        <w:r w:rsidRPr="004D1655">
          <w:rPr>
            <w:color w:val="BE830E" w:themeColor="accent1"/>
            <w:szCs w:val="20"/>
            <w:u w:val="single"/>
          </w:rPr>
          <w:t>dpa_fsv_report_2020_additional_data_final_25_june_no_bleed_smallfile.pdf (anu.edu.au)</w:t>
        </w:r>
      </w:hyperlink>
      <w:r w:rsidRPr="004D1655">
        <w:rPr>
          <w:rFonts w:cstheme="minorHAnsi"/>
          <w:bCs/>
          <w:color w:val="BE830E" w:themeColor="accent1"/>
          <w:szCs w:val="20"/>
        </w:rPr>
        <w:t xml:space="preserve"> </w:t>
      </w:r>
    </w:p>
    <w:p w14:paraId="3EA3F240" w14:textId="77777777" w:rsidR="008A2813" w:rsidRPr="004D1655" w:rsidRDefault="008A2813" w:rsidP="004D1655">
      <w:pPr>
        <w:rPr>
          <w:rFonts w:cstheme="minorHAnsi"/>
          <w:szCs w:val="20"/>
        </w:rPr>
      </w:pPr>
      <w:r w:rsidRPr="004D1655">
        <w:rPr>
          <w:rFonts w:cstheme="minorHAnsi"/>
          <w:bCs/>
          <w:color w:val="000000"/>
          <w:szCs w:val="20"/>
        </w:rPr>
        <w:t>Watson AHA and Putt J 2020</w:t>
      </w:r>
      <w:r w:rsidRPr="004D1655">
        <w:rPr>
          <w:rFonts w:eastAsia="Times New Roman" w:cstheme="minorHAnsi"/>
          <w:color w:val="000000"/>
          <w:spacing w:val="2"/>
          <w:szCs w:val="20"/>
          <w:lang w:eastAsia="en-AU"/>
        </w:rPr>
        <w:t xml:space="preserve"> ‘</w:t>
      </w:r>
      <w:r w:rsidRPr="004D1655">
        <w:rPr>
          <w:rFonts w:cstheme="minorHAnsi"/>
          <w:bCs/>
          <w:color w:val="000000"/>
          <w:szCs w:val="20"/>
        </w:rPr>
        <w:t xml:space="preserve">Emergency Toll-Free Telephone Services Part 1: Challenging Contexts’  </w:t>
      </w:r>
      <w:r w:rsidRPr="004D1655">
        <w:rPr>
          <w:rFonts w:cstheme="minorHAnsi"/>
          <w:b/>
          <w:bCs/>
          <w:i/>
          <w:color w:val="000000"/>
          <w:szCs w:val="20"/>
        </w:rPr>
        <w:t>In Brief</w:t>
      </w:r>
      <w:r w:rsidRPr="004D1655">
        <w:rPr>
          <w:rFonts w:cstheme="minorHAnsi"/>
          <w:bCs/>
          <w:color w:val="000000"/>
          <w:szCs w:val="20"/>
        </w:rPr>
        <w:t xml:space="preserve"> 2020/08 </w:t>
      </w:r>
      <w:hyperlink r:id="rId20" w:history="1">
        <w:r w:rsidRPr="004D1655">
          <w:rPr>
            <w:rFonts w:cstheme="minorHAnsi"/>
            <w:color w:val="BE830E" w:themeColor="accent1"/>
            <w:szCs w:val="20"/>
            <w:u w:val="single"/>
          </w:rPr>
          <w:t>IB 2020/08 Emergency Toll-Free Telephone Services Part 1: Challenging Contexts | Department of Pacific Affairs (anu.edu.au)</w:t>
        </w:r>
      </w:hyperlink>
      <w:r w:rsidRPr="004D1655">
        <w:rPr>
          <w:rFonts w:cstheme="minorHAnsi"/>
          <w:color w:val="BE830E" w:themeColor="accent1"/>
          <w:szCs w:val="20"/>
        </w:rPr>
        <w:t xml:space="preserve"> </w:t>
      </w:r>
    </w:p>
    <w:p w14:paraId="32914416" w14:textId="77777777" w:rsidR="008A2813" w:rsidRPr="004D1655" w:rsidRDefault="008A2813" w:rsidP="004D1655">
      <w:pPr>
        <w:rPr>
          <w:rFonts w:cstheme="minorHAnsi"/>
          <w:bCs/>
          <w:color w:val="000000"/>
          <w:szCs w:val="20"/>
        </w:rPr>
      </w:pPr>
      <w:r w:rsidRPr="004D1655">
        <w:rPr>
          <w:rFonts w:cstheme="minorHAnsi"/>
          <w:bCs/>
          <w:color w:val="000000"/>
          <w:szCs w:val="20"/>
        </w:rPr>
        <w:lastRenderedPageBreak/>
        <w:t xml:space="preserve">Putt J, Mararang D and Watson AHA 2020 ‘Emergency Toll-Free Telephone Services Part 2: A Police Line in Papua New Guinea’ </w:t>
      </w:r>
      <w:r w:rsidRPr="004D1655">
        <w:rPr>
          <w:rFonts w:cstheme="minorHAnsi"/>
          <w:b/>
          <w:bCs/>
          <w:i/>
          <w:color w:val="000000"/>
          <w:szCs w:val="20"/>
        </w:rPr>
        <w:t>In Brief</w:t>
      </w:r>
      <w:r w:rsidRPr="004D1655">
        <w:rPr>
          <w:rFonts w:cstheme="minorHAnsi"/>
          <w:bCs/>
          <w:color w:val="000000"/>
          <w:szCs w:val="20"/>
        </w:rPr>
        <w:t xml:space="preserve"> 2020/09, </w:t>
      </w:r>
      <w:hyperlink r:id="rId21" w:history="1">
        <w:r w:rsidRPr="004D1655">
          <w:rPr>
            <w:rFonts w:cstheme="minorHAnsi"/>
            <w:color w:val="BE830E" w:themeColor="accent1"/>
            <w:szCs w:val="20"/>
            <w:u w:val="single"/>
          </w:rPr>
          <w:t>IB 2020/09 Emergency Toll-Free Telephone Services Part 2: A Police Line in Papua New Guinea | Department of Pacific Affairs (anu.edu.au)</w:t>
        </w:r>
      </w:hyperlink>
    </w:p>
    <w:p w14:paraId="04ED1081" w14:textId="77777777" w:rsidR="008A2813" w:rsidRPr="004D1655" w:rsidRDefault="008A2813" w:rsidP="004D1655">
      <w:pPr>
        <w:pStyle w:val="Heading3"/>
      </w:pPr>
      <w:r w:rsidRPr="004D1655">
        <w:t>Blogs</w:t>
      </w:r>
    </w:p>
    <w:p w14:paraId="159ECCCE" w14:textId="77777777" w:rsidR="008A2813" w:rsidRPr="004D1655" w:rsidRDefault="008A2813" w:rsidP="008A2813">
      <w:pPr>
        <w:spacing w:before="160"/>
        <w:rPr>
          <w:rFonts w:cstheme="minorHAnsi"/>
          <w:szCs w:val="20"/>
        </w:rPr>
      </w:pPr>
      <w:r w:rsidRPr="004D1655">
        <w:rPr>
          <w:rFonts w:cstheme="minorHAnsi"/>
          <w:szCs w:val="20"/>
        </w:rPr>
        <w:t>Putt J and Dinnen S</w:t>
      </w:r>
      <w:r w:rsidRPr="004D1655">
        <w:rPr>
          <w:szCs w:val="20"/>
        </w:rPr>
        <w:t xml:space="preserve"> </w:t>
      </w:r>
      <w:hyperlink r:id="rId22" w:history="1">
        <w:r w:rsidRPr="004D1655">
          <w:rPr>
            <w:color w:val="BE830E" w:themeColor="accent1"/>
            <w:szCs w:val="20"/>
            <w:u w:val="single"/>
          </w:rPr>
          <w:t>Sexual violence against children in Papua New Guinea: what the criminal justice data tells us - Devpolicy Blog from the Development Policy Centre</w:t>
        </w:r>
      </w:hyperlink>
      <w:r w:rsidRPr="004D1655">
        <w:rPr>
          <w:color w:val="BE830E" w:themeColor="accent1"/>
          <w:szCs w:val="20"/>
        </w:rPr>
        <w:t xml:space="preserve"> </w:t>
      </w:r>
      <w:r w:rsidRPr="004D1655">
        <w:rPr>
          <w:szCs w:val="20"/>
        </w:rPr>
        <w:t>DevPolicy Blog, 30/10/20</w:t>
      </w:r>
      <w:r w:rsidRPr="004D1655">
        <w:rPr>
          <w:rFonts w:cstheme="minorHAnsi"/>
          <w:szCs w:val="20"/>
        </w:rPr>
        <w:t xml:space="preserve"> </w:t>
      </w:r>
    </w:p>
    <w:p w14:paraId="0823A732" w14:textId="77777777" w:rsidR="008A2813" w:rsidRPr="004D1655" w:rsidRDefault="008A2813" w:rsidP="008A2813">
      <w:pPr>
        <w:spacing w:before="160"/>
        <w:rPr>
          <w:szCs w:val="20"/>
        </w:rPr>
      </w:pPr>
      <w:r w:rsidRPr="004D1655">
        <w:rPr>
          <w:rFonts w:cstheme="minorHAnsi"/>
          <w:szCs w:val="20"/>
        </w:rPr>
        <w:t xml:space="preserve">Putt J, Mararang D, and Watson AHA, </w:t>
      </w:r>
      <w:hyperlink r:id="rId23" w:history="1">
        <w:r w:rsidRPr="004D1655">
          <w:rPr>
            <w:color w:val="BE830E" w:themeColor="accent1"/>
            <w:szCs w:val="20"/>
            <w:u w:val="single"/>
          </w:rPr>
          <w:t>Emergency phone services, part two: the police in Papua New Guinea - Devpolicy Blog from the Development Policy Centre</w:t>
        </w:r>
      </w:hyperlink>
      <w:r w:rsidRPr="004D1655">
        <w:rPr>
          <w:szCs w:val="20"/>
        </w:rPr>
        <w:t>, DevPolicy Blog, 13/10/20</w:t>
      </w:r>
    </w:p>
    <w:p w14:paraId="5AD1F105" w14:textId="77777777" w:rsidR="008A2813" w:rsidRPr="004D1655" w:rsidRDefault="008A2813" w:rsidP="008A2813">
      <w:pPr>
        <w:spacing w:before="160"/>
        <w:rPr>
          <w:rFonts w:cstheme="minorHAnsi"/>
          <w:szCs w:val="20"/>
        </w:rPr>
      </w:pPr>
      <w:r w:rsidRPr="004D1655">
        <w:rPr>
          <w:szCs w:val="20"/>
        </w:rPr>
        <w:t xml:space="preserve">Watson AHA and Putt J, </w:t>
      </w:r>
      <w:hyperlink r:id="rId24" w:history="1">
        <w:r w:rsidRPr="004D1655">
          <w:rPr>
            <w:color w:val="BE830E" w:themeColor="accent1"/>
            <w:szCs w:val="20"/>
            <w:u w:val="single"/>
          </w:rPr>
          <w:t>Emergency phone services, part one: challenging contexts - Devpolicy Blog from the Development Policy Centre</w:t>
        </w:r>
      </w:hyperlink>
      <w:r w:rsidRPr="004D1655">
        <w:rPr>
          <w:szCs w:val="20"/>
        </w:rPr>
        <w:t>, DevPolicy Blog 9/10/20</w:t>
      </w:r>
    </w:p>
    <w:p w14:paraId="43182E13" w14:textId="77777777" w:rsidR="008A2813" w:rsidRPr="004D1655" w:rsidRDefault="008A2813" w:rsidP="008A2813">
      <w:pPr>
        <w:pStyle w:val="Heading1"/>
        <w:shd w:val="clear" w:color="auto" w:fill="FFFFFF"/>
        <w:spacing w:before="160" w:after="0"/>
        <w:textAlignment w:val="baseline"/>
        <w:rPr>
          <w:rFonts w:asciiTheme="minorHAnsi" w:hAnsiTheme="minorHAnsi" w:cstheme="minorHAnsi"/>
          <w:sz w:val="20"/>
          <w:szCs w:val="20"/>
        </w:rPr>
      </w:pPr>
    </w:p>
    <w:p w14:paraId="11AC5FE7" w14:textId="77777777" w:rsidR="008A2813" w:rsidRPr="004D1655" w:rsidRDefault="008A2813" w:rsidP="004D1655">
      <w:pPr>
        <w:pStyle w:val="Heading2"/>
      </w:pPr>
      <w:bookmarkStart w:id="11" w:name="_Toc75947108"/>
      <w:r w:rsidRPr="004D1655">
        <w:t>Family protection orders</w:t>
      </w:r>
      <w:bookmarkEnd w:id="11"/>
    </w:p>
    <w:p w14:paraId="06D440F6" w14:textId="3BD43BB0" w:rsidR="008A2813" w:rsidRPr="004D1655" w:rsidRDefault="008A2813" w:rsidP="004D1655">
      <w:r w:rsidRPr="004D1655">
        <w:t xml:space="preserve">Putt J, and Kanan L 2021 Family Protection Orders in Papua New Guinea, </w:t>
      </w:r>
      <w:r w:rsidRPr="004D1655">
        <w:rPr>
          <w:b/>
          <w:i/>
        </w:rPr>
        <w:t>Research Report</w:t>
      </w:r>
      <w:r w:rsidR="004D1655" w:rsidRPr="004D1655">
        <w:t>,</w:t>
      </w:r>
      <w:r w:rsidR="004D1655" w:rsidRPr="004D1655">
        <w:rPr>
          <w:b/>
          <w:i/>
          <w:color w:val="BE830E" w:themeColor="accent1"/>
        </w:rPr>
        <w:t xml:space="preserve"> </w:t>
      </w:r>
      <w:hyperlink r:id="rId25" w:history="1">
        <w:r w:rsidRPr="004D1655">
          <w:rPr>
            <w:color w:val="BE830E" w:themeColor="accent1"/>
            <w:u w:val="single"/>
          </w:rPr>
          <w:t>Family Protection Orders in Papua New Guinea - Main Report | Department of Pacific Affairs (anu.edu.au)</w:t>
        </w:r>
      </w:hyperlink>
    </w:p>
    <w:p w14:paraId="24D6FE47" w14:textId="677D136D" w:rsidR="008A2813" w:rsidRPr="004D1655" w:rsidRDefault="008A2813" w:rsidP="004D1655">
      <w:r w:rsidRPr="004D1655">
        <w:t xml:space="preserve">Putt J, and Kanan L 2021 Family Protection Orders in Papua New Guinea, </w:t>
      </w:r>
      <w:r w:rsidRPr="004D1655">
        <w:rPr>
          <w:b/>
          <w:i/>
        </w:rPr>
        <w:t>Summary Report</w:t>
      </w:r>
      <w:r w:rsidR="004D1655" w:rsidRPr="004D1655">
        <w:t>,</w:t>
      </w:r>
      <w:r w:rsidR="004D1655">
        <w:rPr>
          <w:b/>
          <w:i/>
        </w:rPr>
        <w:t xml:space="preserve"> </w:t>
      </w:r>
      <w:hyperlink r:id="rId26" w:history="1">
        <w:r w:rsidRPr="004D1655">
          <w:rPr>
            <w:color w:val="BE830E" w:themeColor="accent1"/>
            <w:u w:val="single"/>
          </w:rPr>
          <w:t>Family Protection Orders in Papua New Guinea: Summary Report | Department of Pacific Affairs (anu.edu.au)</w:t>
        </w:r>
      </w:hyperlink>
    </w:p>
    <w:p w14:paraId="66E59DF1" w14:textId="1488E9D2" w:rsidR="008A2813" w:rsidRPr="004D1655" w:rsidRDefault="008A2813" w:rsidP="004D1655">
      <w:pPr>
        <w:rPr>
          <w:rFonts w:eastAsia="Times New Roman"/>
          <w:color w:val="000000"/>
          <w:spacing w:val="2"/>
          <w:lang w:eastAsia="en-AU"/>
        </w:rPr>
      </w:pPr>
      <w:r w:rsidRPr="004D1655">
        <w:rPr>
          <w:rFonts w:eastAsia="Times New Roman"/>
          <w:color w:val="000000"/>
          <w:spacing w:val="2"/>
          <w:lang w:eastAsia="en-AU"/>
        </w:rPr>
        <w:t xml:space="preserve">Kanan L and Putt J 2021 </w:t>
      </w:r>
      <w:hyperlink r:id="rId27" w:history="1">
        <w:r w:rsidRPr="004D1655">
          <w:rPr>
            <w:rFonts w:eastAsia="Times New Roman"/>
            <w:color w:val="BE830E" w:themeColor="accent1"/>
            <w:spacing w:val="2"/>
            <w:u w:val="single"/>
            <w:lang w:eastAsia="en-AU"/>
          </w:rPr>
          <w:t>Family Protection Orders: Court Processes in Papua New Guinea</w:t>
        </w:r>
      </w:hyperlink>
      <w:r w:rsidR="004D1655" w:rsidRPr="004D1655">
        <w:t>,</w:t>
      </w:r>
      <w:r w:rsidR="004D1655">
        <w:t xml:space="preserve"> </w:t>
      </w:r>
      <w:r w:rsidRPr="004D1655">
        <w:rPr>
          <w:rFonts w:eastAsia="Times New Roman"/>
          <w:b/>
          <w:i/>
          <w:color w:val="000000"/>
          <w:spacing w:val="2"/>
          <w:lang w:eastAsia="en-AU"/>
        </w:rPr>
        <w:t>Issue paper</w:t>
      </w:r>
    </w:p>
    <w:p w14:paraId="11E91094" w14:textId="637EE179" w:rsidR="008A2813" w:rsidRPr="004D1655" w:rsidRDefault="008A2813" w:rsidP="008A2813">
      <w:pPr>
        <w:shd w:val="clear" w:color="auto" w:fill="FFFFFF"/>
        <w:spacing w:before="160"/>
        <w:textAlignment w:val="baseline"/>
        <w:rPr>
          <w:rFonts w:eastAsia="Times New Roman" w:cstheme="minorHAnsi"/>
          <w:i/>
          <w:color w:val="000000"/>
          <w:spacing w:val="2"/>
          <w:szCs w:val="20"/>
          <w:lang w:eastAsia="en-AU"/>
        </w:rPr>
      </w:pPr>
      <w:r w:rsidRPr="004D1655">
        <w:rPr>
          <w:rFonts w:eastAsia="Times New Roman" w:cstheme="minorHAnsi"/>
          <w:color w:val="000000"/>
          <w:spacing w:val="2"/>
          <w:szCs w:val="20"/>
          <w:lang w:eastAsia="en-AU"/>
        </w:rPr>
        <w:t xml:space="preserve">Kanan L and Putt J 2021 </w:t>
      </w:r>
      <w:hyperlink r:id="rId28" w:history="1">
        <w:r w:rsidRPr="004D1655">
          <w:rPr>
            <w:rFonts w:eastAsia="Times New Roman" w:cstheme="minorHAnsi"/>
            <w:color w:val="BE830E" w:themeColor="accent1"/>
            <w:spacing w:val="2"/>
            <w:szCs w:val="20"/>
            <w:u w:val="single"/>
            <w:lang w:eastAsia="en-AU"/>
          </w:rPr>
          <w:t>Domestic Violence and Family Law in Papua New Guinea</w:t>
        </w:r>
      </w:hyperlink>
      <w:r w:rsidR="004D1655" w:rsidRPr="004D1655">
        <w:t>,</w:t>
      </w:r>
      <w:r w:rsidRPr="004D1655">
        <w:rPr>
          <w:rFonts w:eastAsia="Times New Roman" w:cstheme="minorHAnsi"/>
          <w:b/>
          <w:color w:val="000000"/>
          <w:spacing w:val="2"/>
          <w:szCs w:val="20"/>
          <w:lang w:eastAsia="en-AU"/>
        </w:rPr>
        <w:t xml:space="preserve"> </w:t>
      </w:r>
      <w:r w:rsidRPr="004D1655">
        <w:rPr>
          <w:rFonts w:eastAsia="Times New Roman" w:cstheme="minorHAnsi"/>
          <w:b/>
          <w:i/>
          <w:color w:val="000000"/>
          <w:spacing w:val="2"/>
          <w:szCs w:val="20"/>
          <w:lang w:eastAsia="en-AU"/>
        </w:rPr>
        <w:t>Issue paper</w:t>
      </w:r>
    </w:p>
    <w:p w14:paraId="352DB211" w14:textId="77777777" w:rsidR="008A2813" w:rsidRPr="004D1655" w:rsidRDefault="008A2813" w:rsidP="008A2813">
      <w:pPr>
        <w:shd w:val="clear" w:color="auto" w:fill="FFFFFF"/>
        <w:spacing w:before="160"/>
        <w:textAlignment w:val="baseline"/>
        <w:rPr>
          <w:rFonts w:eastAsia="Times New Roman" w:cstheme="minorHAnsi"/>
          <w:i/>
          <w:color w:val="000000"/>
          <w:spacing w:val="2"/>
          <w:szCs w:val="20"/>
          <w:lang w:eastAsia="en-AU"/>
        </w:rPr>
      </w:pPr>
      <w:r w:rsidRPr="004D1655">
        <w:rPr>
          <w:rFonts w:eastAsia="Times New Roman" w:cstheme="minorHAnsi"/>
          <w:color w:val="000000"/>
          <w:spacing w:val="2"/>
          <w:szCs w:val="20"/>
          <w:lang w:eastAsia="en-AU"/>
        </w:rPr>
        <w:t xml:space="preserve">Putt J, Milli G and Essacu F 2021 </w:t>
      </w:r>
      <w:hyperlink r:id="rId29" w:history="1">
        <w:r w:rsidRPr="004D1655">
          <w:rPr>
            <w:rFonts w:eastAsia="Times New Roman" w:cstheme="minorHAnsi"/>
            <w:color w:val="BE830E" w:themeColor="accent1"/>
            <w:spacing w:val="2"/>
            <w:szCs w:val="20"/>
            <w:u w:val="single"/>
            <w:lang w:eastAsia="en-AU"/>
          </w:rPr>
          <w:t>Domestic Violence, the Law and Related Services in Papua New Guinea: A Survey of Young Adults in Port Moresby and Lae</w:t>
        </w:r>
      </w:hyperlink>
      <w:r w:rsidRPr="004D1655">
        <w:rPr>
          <w:rFonts w:eastAsia="Times New Roman" w:cstheme="minorHAnsi"/>
          <w:color w:val="BE830E" w:themeColor="accent1"/>
          <w:spacing w:val="2"/>
          <w:szCs w:val="20"/>
          <w:u w:val="single"/>
          <w:lang w:eastAsia="en-AU"/>
        </w:rPr>
        <w:t xml:space="preserve">, </w:t>
      </w:r>
      <w:r w:rsidRPr="004D1655">
        <w:rPr>
          <w:rFonts w:eastAsia="Times New Roman" w:cstheme="minorHAnsi"/>
          <w:b/>
          <w:i/>
          <w:spacing w:val="2"/>
          <w:szCs w:val="20"/>
          <w:lang w:eastAsia="en-AU"/>
        </w:rPr>
        <w:t>Research paper</w:t>
      </w:r>
    </w:p>
    <w:p w14:paraId="351507C6" w14:textId="77777777" w:rsidR="008A2813" w:rsidRPr="004D1655" w:rsidRDefault="008A2813" w:rsidP="008A2813">
      <w:pPr>
        <w:shd w:val="clear" w:color="auto" w:fill="FFFFFF"/>
        <w:spacing w:before="160"/>
        <w:textAlignment w:val="baseline"/>
        <w:rPr>
          <w:rFonts w:cstheme="minorHAnsi"/>
          <w:bCs/>
          <w:color w:val="000000"/>
          <w:szCs w:val="20"/>
        </w:rPr>
      </w:pPr>
      <w:r w:rsidRPr="004D1655">
        <w:rPr>
          <w:rFonts w:cstheme="minorHAnsi"/>
          <w:bCs/>
          <w:color w:val="000000"/>
          <w:szCs w:val="20"/>
        </w:rPr>
        <w:t>Putt J,</w:t>
      </w:r>
      <w:r w:rsidRPr="004D1655">
        <w:rPr>
          <w:rFonts w:cstheme="minorHAnsi"/>
          <w:b/>
          <w:bCs/>
          <w:color w:val="000000"/>
          <w:szCs w:val="20"/>
        </w:rPr>
        <w:t xml:space="preserve"> </w:t>
      </w:r>
      <w:r w:rsidRPr="004D1655">
        <w:rPr>
          <w:rFonts w:cstheme="minorHAnsi"/>
          <w:bCs/>
          <w:color w:val="000000"/>
          <w:szCs w:val="20"/>
        </w:rPr>
        <w:t xml:space="preserve">Phillips T, Thomas D and Kanan L 2019 </w:t>
      </w:r>
      <w:r w:rsidRPr="004D1655">
        <w:rPr>
          <w:rFonts w:cstheme="minorHAnsi"/>
          <w:bCs/>
          <w:i/>
          <w:color w:val="000000"/>
          <w:szCs w:val="20"/>
        </w:rPr>
        <w:t>Family protection orders: a key response to domestic and family violence. A pilot study in Lae, Papua New Guinea,</w:t>
      </w:r>
      <w:r w:rsidRPr="004D1655">
        <w:rPr>
          <w:rFonts w:cstheme="minorHAnsi"/>
          <w:bCs/>
          <w:color w:val="000000"/>
          <w:szCs w:val="20"/>
        </w:rPr>
        <w:t xml:space="preserve"> </w:t>
      </w:r>
      <w:r w:rsidRPr="004D1655">
        <w:rPr>
          <w:rFonts w:cstheme="minorHAnsi"/>
          <w:b/>
          <w:bCs/>
          <w:i/>
          <w:color w:val="000000"/>
          <w:szCs w:val="20"/>
        </w:rPr>
        <w:t>Research Report</w:t>
      </w:r>
      <w:r w:rsidRPr="004D1655">
        <w:rPr>
          <w:rFonts w:cstheme="minorHAnsi"/>
          <w:bCs/>
          <w:color w:val="000000"/>
          <w:szCs w:val="20"/>
        </w:rPr>
        <w:t xml:space="preserve">, Department of Pacific Affairs, Australian National University </w:t>
      </w:r>
      <w:hyperlink r:id="rId30" w:history="1">
        <w:r w:rsidRPr="00D65D32">
          <w:rPr>
            <w:color w:val="BE830E" w:themeColor="hyperlink"/>
            <w:u w:val="single"/>
            <w:lang w:val="en"/>
          </w:rPr>
          <w:t>http://dpa.bellschool.anu.edu.au/experts-publications/publications/6711/family-protection-orders-png-r</w:t>
        </w:r>
        <w:r w:rsidRPr="00D65D32">
          <w:rPr>
            <w:rFonts w:cstheme="minorHAnsi"/>
            <w:color w:val="BE830E" w:themeColor="hyperlink"/>
            <w:szCs w:val="20"/>
            <w:u w:val="single"/>
            <w:lang w:val="en"/>
          </w:rPr>
          <w:t>esearch-report-pilot-study-lae</w:t>
        </w:r>
      </w:hyperlink>
    </w:p>
    <w:p w14:paraId="02D8095B" w14:textId="77777777" w:rsidR="008A2813" w:rsidRPr="004D1655" w:rsidRDefault="008A2813" w:rsidP="008A2813">
      <w:pPr>
        <w:autoSpaceDE w:val="0"/>
        <w:autoSpaceDN w:val="0"/>
        <w:adjustRightInd w:val="0"/>
        <w:spacing w:before="160"/>
        <w:rPr>
          <w:rFonts w:cstheme="minorHAnsi"/>
          <w:bCs/>
          <w:color w:val="000000"/>
          <w:szCs w:val="20"/>
        </w:rPr>
      </w:pPr>
      <w:r w:rsidRPr="004D1655">
        <w:rPr>
          <w:rFonts w:cstheme="minorHAnsi"/>
          <w:bCs/>
          <w:color w:val="000000"/>
          <w:szCs w:val="20"/>
        </w:rPr>
        <w:t>Putt J,</w:t>
      </w:r>
      <w:r w:rsidRPr="004D1655">
        <w:rPr>
          <w:rFonts w:cstheme="minorHAnsi"/>
          <w:b/>
          <w:bCs/>
          <w:color w:val="000000"/>
          <w:szCs w:val="20"/>
        </w:rPr>
        <w:t xml:space="preserve"> </w:t>
      </w:r>
      <w:r w:rsidRPr="004D1655">
        <w:rPr>
          <w:rFonts w:cstheme="minorHAnsi"/>
          <w:bCs/>
          <w:color w:val="000000"/>
          <w:szCs w:val="20"/>
        </w:rPr>
        <w:t>Phillips T, Thomas D and Kanan L 2019a ‘</w:t>
      </w:r>
      <w:r w:rsidRPr="004D1655">
        <w:rPr>
          <w:rFonts w:cstheme="minorHAnsi"/>
          <w:szCs w:val="20"/>
          <w:lang w:val="en"/>
        </w:rPr>
        <w:t>Family Protection Orders in Lae, Papua New Guinea: Part 3 Factors Affecting the Accessibility and Effectiveness of the Orders’</w:t>
      </w:r>
      <w:r w:rsidRPr="004D1655">
        <w:rPr>
          <w:rFonts w:cstheme="minorHAnsi"/>
          <w:szCs w:val="20"/>
        </w:rPr>
        <w:t xml:space="preserve">, </w:t>
      </w:r>
      <w:r w:rsidRPr="004D1655">
        <w:rPr>
          <w:rFonts w:cstheme="minorHAnsi"/>
          <w:b/>
          <w:i/>
          <w:szCs w:val="20"/>
        </w:rPr>
        <w:t>In Brief</w:t>
      </w:r>
      <w:r w:rsidRPr="004D1655">
        <w:rPr>
          <w:rFonts w:cstheme="minorHAnsi"/>
          <w:szCs w:val="20"/>
        </w:rPr>
        <w:t xml:space="preserve"> 2019/04 </w:t>
      </w:r>
      <w:hyperlink r:id="rId31" w:history="1">
        <w:r w:rsidRPr="004D1655">
          <w:rPr>
            <w:rFonts w:cstheme="minorHAnsi"/>
            <w:color w:val="BE830E" w:themeColor="hyperlink"/>
            <w:szCs w:val="20"/>
            <w:u w:val="single"/>
            <w:lang w:val="en"/>
          </w:rPr>
          <w:t>http://dpa.bellschool.anu.edu.au/experts-publications/publications/6708/ib-201904-family-protection-orders-lae-papua-new-guinea-part</w:t>
        </w:r>
      </w:hyperlink>
      <w:r w:rsidRPr="004D1655">
        <w:rPr>
          <w:rFonts w:cstheme="minorHAnsi"/>
          <w:szCs w:val="20"/>
          <w:lang w:val="en"/>
        </w:rPr>
        <w:t xml:space="preserve"> </w:t>
      </w:r>
    </w:p>
    <w:p w14:paraId="34EB940B" w14:textId="77777777" w:rsidR="008A2813" w:rsidRPr="004D1655" w:rsidRDefault="008A2813" w:rsidP="008A2813">
      <w:pPr>
        <w:autoSpaceDE w:val="0"/>
        <w:autoSpaceDN w:val="0"/>
        <w:adjustRightInd w:val="0"/>
        <w:spacing w:before="160"/>
        <w:rPr>
          <w:rFonts w:cstheme="minorHAnsi"/>
          <w:bCs/>
          <w:color w:val="000000"/>
          <w:szCs w:val="20"/>
        </w:rPr>
      </w:pPr>
      <w:r w:rsidRPr="004D1655">
        <w:rPr>
          <w:rFonts w:cstheme="minorHAnsi"/>
          <w:bCs/>
          <w:color w:val="000000"/>
          <w:szCs w:val="20"/>
        </w:rPr>
        <w:t>Putt J,</w:t>
      </w:r>
      <w:r w:rsidRPr="004D1655">
        <w:rPr>
          <w:rFonts w:cstheme="minorHAnsi"/>
          <w:b/>
          <w:bCs/>
          <w:color w:val="000000"/>
          <w:szCs w:val="20"/>
        </w:rPr>
        <w:t xml:space="preserve"> </w:t>
      </w:r>
      <w:r w:rsidRPr="004D1655">
        <w:rPr>
          <w:rFonts w:cstheme="minorHAnsi"/>
          <w:bCs/>
          <w:color w:val="000000"/>
          <w:szCs w:val="20"/>
        </w:rPr>
        <w:t>Phillips T, Thomas D and Kanan L 2019b ‘</w:t>
      </w:r>
      <w:r w:rsidRPr="004D1655">
        <w:rPr>
          <w:rFonts w:cstheme="minorHAnsi"/>
          <w:szCs w:val="20"/>
          <w:lang w:val="en"/>
        </w:rPr>
        <w:t xml:space="preserve">Family Protection Orders in Lae, Papua New Guinea: Part 2 Improving Safety’, </w:t>
      </w:r>
      <w:r w:rsidRPr="004D1655">
        <w:rPr>
          <w:rFonts w:cstheme="minorHAnsi"/>
          <w:b/>
          <w:i/>
          <w:szCs w:val="20"/>
          <w:lang w:val="en"/>
        </w:rPr>
        <w:t>In Brief</w:t>
      </w:r>
      <w:r w:rsidRPr="004D1655">
        <w:rPr>
          <w:rFonts w:cstheme="minorHAnsi"/>
          <w:szCs w:val="20"/>
          <w:lang w:val="en"/>
        </w:rPr>
        <w:t xml:space="preserve"> 2019/03 </w:t>
      </w:r>
      <w:r w:rsidRPr="004D1655">
        <w:rPr>
          <w:rFonts w:cstheme="minorHAnsi"/>
          <w:szCs w:val="20"/>
        </w:rPr>
        <w:t xml:space="preserve"> </w:t>
      </w:r>
      <w:hyperlink r:id="rId32" w:history="1">
        <w:r w:rsidRPr="004D1655">
          <w:rPr>
            <w:rFonts w:cstheme="minorHAnsi"/>
            <w:color w:val="BE830E" w:themeColor="hyperlink"/>
            <w:szCs w:val="20"/>
            <w:u w:val="single"/>
            <w:lang w:val="en"/>
          </w:rPr>
          <w:t>http://dpa.bellschool.anu.edu.au/experts-publications/publications/6707/ib-201903-family-protection-orders-lae-papua-new-guinea-part</w:t>
        </w:r>
      </w:hyperlink>
      <w:r w:rsidRPr="004D1655">
        <w:rPr>
          <w:rFonts w:cstheme="minorHAnsi"/>
          <w:szCs w:val="20"/>
          <w:lang w:val="en"/>
        </w:rPr>
        <w:t xml:space="preserve"> </w:t>
      </w:r>
    </w:p>
    <w:p w14:paraId="4C9B3560" w14:textId="77777777" w:rsidR="008A2813" w:rsidRPr="004D1655" w:rsidRDefault="008A2813" w:rsidP="008A2813">
      <w:pPr>
        <w:spacing w:before="160"/>
        <w:rPr>
          <w:rFonts w:cstheme="minorHAnsi"/>
          <w:bCs/>
          <w:color w:val="BE830E" w:themeColor="hyperlink"/>
          <w:szCs w:val="20"/>
          <w:u w:val="single"/>
        </w:rPr>
      </w:pPr>
      <w:r w:rsidRPr="004D1655">
        <w:rPr>
          <w:rFonts w:cstheme="minorHAnsi"/>
          <w:bCs/>
          <w:color w:val="000000"/>
          <w:szCs w:val="20"/>
        </w:rPr>
        <w:t>Putt J,</w:t>
      </w:r>
      <w:r w:rsidRPr="004D1655">
        <w:rPr>
          <w:rFonts w:cstheme="minorHAnsi"/>
          <w:b/>
          <w:bCs/>
          <w:color w:val="000000"/>
          <w:szCs w:val="20"/>
        </w:rPr>
        <w:t xml:space="preserve"> </w:t>
      </w:r>
      <w:r w:rsidRPr="004D1655">
        <w:rPr>
          <w:rFonts w:cstheme="minorHAnsi"/>
          <w:bCs/>
          <w:color w:val="000000"/>
          <w:szCs w:val="20"/>
        </w:rPr>
        <w:t>Phillips T, Thomas D and Kanan L 2019c’</w:t>
      </w:r>
      <w:r w:rsidRPr="004D1655">
        <w:rPr>
          <w:rFonts w:cstheme="minorHAnsi"/>
          <w:szCs w:val="20"/>
          <w:lang w:val="en"/>
        </w:rPr>
        <w:t xml:space="preserve"> Family Protection Orders in Lae, Papua New Guinea: Part 1 Accessing Justice’, </w:t>
      </w:r>
      <w:r w:rsidRPr="004D1655">
        <w:rPr>
          <w:rFonts w:cstheme="minorHAnsi"/>
          <w:b/>
          <w:i/>
          <w:szCs w:val="20"/>
          <w:lang w:val="en"/>
        </w:rPr>
        <w:t>In Brief</w:t>
      </w:r>
      <w:r w:rsidRPr="004D1655">
        <w:rPr>
          <w:rFonts w:cstheme="minorHAnsi"/>
          <w:szCs w:val="20"/>
          <w:lang w:val="en"/>
        </w:rPr>
        <w:t xml:space="preserve"> 2019/02 </w:t>
      </w:r>
      <w:hyperlink r:id="rId33" w:history="1">
        <w:r w:rsidRPr="004D1655">
          <w:rPr>
            <w:rFonts w:cstheme="minorHAnsi"/>
            <w:bCs/>
            <w:color w:val="BE830E" w:themeColor="hyperlink"/>
            <w:szCs w:val="20"/>
            <w:u w:val="single"/>
          </w:rPr>
          <w:t>http://dpa.bellschool.anu.edu.au/experts-publications/publications/6706/ib-201902-family-protection-orders-lae-papua-new-guinea-part</w:t>
        </w:r>
      </w:hyperlink>
    </w:p>
    <w:p w14:paraId="795B8A60" w14:textId="77777777" w:rsidR="008A2813" w:rsidRPr="004D1655" w:rsidRDefault="008A2813" w:rsidP="008A2813">
      <w:pPr>
        <w:rPr>
          <w:szCs w:val="20"/>
          <w:u w:val="single"/>
        </w:rPr>
      </w:pPr>
    </w:p>
    <w:p w14:paraId="47D8714C" w14:textId="77777777" w:rsidR="008A2813" w:rsidRPr="004D1655" w:rsidRDefault="008A2813" w:rsidP="004D1655">
      <w:pPr>
        <w:pStyle w:val="Heading3"/>
      </w:pPr>
      <w:r w:rsidRPr="004D1655">
        <w:t>Blogs</w:t>
      </w:r>
    </w:p>
    <w:p w14:paraId="557F4427" w14:textId="77777777" w:rsidR="008A2813" w:rsidRPr="004D1655" w:rsidRDefault="008A2813" w:rsidP="008A2813">
      <w:pPr>
        <w:spacing w:before="160"/>
        <w:rPr>
          <w:rFonts w:cstheme="minorHAnsi"/>
          <w:szCs w:val="20"/>
        </w:rPr>
      </w:pPr>
      <w:r w:rsidRPr="004D1655">
        <w:rPr>
          <w:rFonts w:cstheme="minorHAnsi"/>
          <w:szCs w:val="20"/>
        </w:rPr>
        <w:t>Putt J and Kanan L</w:t>
      </w:r>
      <w:r w:rsidRPr="004D1655">
        <w:rPr>
          <w:szCs w:val="20"/>
        </w:rPr>
        <w:t xml:space="preserve"> </w:t>
      </w:r>
      <w:hyperlink r:id="rId34" w:history="1">
        <w:r w:rsidRPr="004D1655">
          <w:rPr>
            <w:color w:val="BE830E" w:themeColor="hyperlink"/>
            <w:szCs w:val="20"/>
            <w:u w:val="single"/>
          </w:rPr>
          <w:t>Do protection orders make PNG women safer? - Devpolicy Blog from the Development Policy Centre</w:t>
        </w:r>
      </w:hyperlink>
      <w:r w:rsidRPr="004D1655">
        <w:rPr>
          <w:szCs w:val="20"/>
        </w:rPr>
        <w:t xml:space="preserve">, </w:t>
      </w:r>
      <w:r w:rsidRPr="004D1655">
        <w:rPr>
          <w:rFonts w:cstheme="minorHAnsi"/>
          <w:szCs w:val="20"/>
        </w:rPr>
        <w:t>DevPolicy Blog, 3/3/21</w:t>
      </w:r>
    </w:p>
    <w:p w14:paraId="0E667A51" w14:textId="77777777" w:rsidR="008A2813" w:rsidRPr="004D1655" w:rsidRDefault="008A2813" w:rsidP="008A2813">
      <w:pPr>
        <w:spacing w:before="160"/>
        <w:rPr>
          <w:rFonts w:cstheme="minorHAnsi"/>
          <w:szCs w:val="20"/>
        </w:rPr>
      </w:pPr>
      <w:r w:rsidRPr="004D1655">
        <w:rPr>
          <w:rFonts w:cstheme="minorHAnsi"/>
          <w:szCs w:val="20"/>
        </w:rPr>
        <w:t xml:space="preserve">Kanan L and Putt J </w:t>
      </w:r>
      <w:hyperlink r:id="rId35" w:history="1">
        <w:r w:rsidRPr="00424909">
          <w:rPr>
            <w:color w:val="BE830E" w:themeColor="accent1"/>
            <w:szCs w:val="20"/>
            <w:u w:val="single"/>
          </w:rPr>
          <w:t>Family protection orders in Lae: some positive signs - Devpolicy Blog from the Development Policy Centre</w:t>
        </w:r>
      </w:hyperlink>
      <w:r w:rsidRPr="004D1655">
        <w:rPr>
          <w:szCs w:val="20"/>
        </w:rPr>
        <w:t>, DevPolicy blog 23/11/18</w:t>
      </w:r>
    </w:p>
    <w:p w14:paraId="0C6F295B" w14:textId="77777777" w:rsidR="008A2813" w:rsidRPr="004D1655" w:rsidRDefault="008A2813" w:rsidP="008A2813">
      <w:pPr>
        <w:spacing w:before="160"/>
        <w:rPr>
          <w:rFonts w:cstheme="minorHAnsi"/>
          <w:szCs w:val="20"/>
        </w:rPr>
      </w:pPr>
      <w:r w:rsidRPr="004D1655">
        <w:rPr>
          <w:rFonts w:cstheme="minorHAnsi"/>
          <w:szCs w:val="20"/>
        </w:rPr>
        <w:lastRenderedPageBreak/>
        <w:t xml:space="preserve">Ganaii T, Putt J and Dinnen S </w:t>
      </w:r>
      <w:hyperlink r:id="rId36" w:history="1">
        <w:r w:rsidRPr="004D1655">
          <w:rPr>
            <w:color w:val="BE830E" w:themeColor="hyperlink"/>
            <w:szCs w:val="20"/>
            <w:u w:val="single"/>
          </w:rPr>
          <w:t>Domestic violence and the need for criminal justice reform in PNG - Policy Forum</w:t>
        </w:r>
      </w:hyperlink>
      <w:r w:rsidRPr="004D1655">
        <w:rPr>
          <w:szCs w:val="20"/>
        </w:rPr>
        <w:t>, 18/6/21</w:t>
      </w:r>
    </w:p>
    <w:p w14:paraId="1F9236D1" w14:textId="77777777" w:rsidR="008A2813" w:rsidRPr="004D1655" w:rsidRDefault="008A2813" w:rsidP="008A2813">
      <w:pPr>
        <w:spacing w:before="160"/>
        <w:rPr>
          <w:rFonts w:cstheme="minorHAnsi"/>
          <w:szCs w:val="20"/>
        </w:rPr>
      </w:pPr>
      <w:r w:rsidRPr="004D1655">
        <w:rPr>
          <w:rFonts w:cstheme="minorHAnsi"/>
          <w:szCs w:val="20"/>
        </w:rPr>
        <w:t xml:space="preserve">Putt J and Kanan L </w:t>
      </w:r>
      <w:hyperlink r:id="rId37" w:history="1">
        <w:r w:rsidRPr="00424909">
          <w:rPr>
            <w:color w:val="BE830E" w:themeColor="accent1"/>
            <w:szCs w:val="20"/>
            <w:u w:val="single"/>
          </w:rPr>
          <w:t>Protecting domestic violence survivors in PNG - Policy Forum</w:t>
        </w:r>
      </w:hyperlink>
      <w:r w:rsidRPr="004D1655">
        <w:rPr>
          <w:szCs w:val="20"/>
        </w:rPr>
        <w:t>, 23/4/21</w:t>
      </w:r>
    </w:p>
    <w:p w14:paraId="474DB097" w14:textId="77777777" w:rsidR="008A2813" w:rsidRPr="004D1655" w:rsidRDefault="008A2813" w:rsidP="004D1655">
      <w:pPr>
        <w:pStyle w:val="Heading3"/>
      </w:pPr>
      <w:r w:rsidRPr="004D1655">
        <w:t xml:space="preserve">Videos </w:t>
      </w:r>
    </w:p>
    <w:p w14:paraId="0A7C6155" w14:textId="77777777" w:rsidR="008A2813" w:rsidRPr="004D1655" w:rsidRDefault="008A2813" w:rsidP="008A2813">
      <w:pPr>
        <w:spacing w:before="160"/>
        <w:rPr>
          <w:rFonts w:cstheme="minorHAnsi"/>
          <w:szCs w:val="20"/>
        </w:rPr>
      </w:pPr>
      <w:r w:rsidRPr="004D1655">
        <w:rPr>
          <w:rFonts w:cstheme="minorHAnsi"/>
          <w:szCs w:val="20"/>
        </w:rPr>
        <w:t xml:space="preserve">Five short videos, including two that explain family protection orders in Tok Pisin and in English </w:t>
      </w:r>
      <w:hyperlink r:id="rId38" w:history="1">
        <w:r w:rsidRPr="00424909">
          <w:rPr>
            <w:rFonts w:cstheme="minorHAnsi"/>
            <w:color w:val="BE830E" w:themeColor="accent1"/>
            <w:szCs w:val="20"/>
            <w:u w:val="single"/>
          </w:rPr>
          <w:t>PNG Family Protection Order Project - YouTube</w:t>
        </w:r>
      </w:hyperlink>
      <w:r w:rsidRPr="00424909">
        <w:rPr>
          <w:rFonts w:cstheme="minorHAnsi"/>
          <w:color w:val="BE830E" w:themeColor="accent1"/>
          <w:szCs w:val="20"/>
        </w:rPr>
        <w:t xml:space="preserve"> </w:t>
      </w:r>
    </w:p>
    <w:p w14:paraId="60AEB080" w14:textId="77777777" w:rsidR="008A2813" w:rsidRPr="004D1655" w:rsidRDefault="008A2813" w:rsidP="008A2813">
      <w:pPr>
        <w:spacing w:before="160"/>
        <w:rPr>
          <w:rFonts w:cstheme="minorHAnsi"/>
          <w:szCs w:val="20"/>
        </w:rPr>
      </w:pPr>
      <w:r w:rsidRPr="004D1655">
        <w:rPr>
          <w:rFonts w:cstheme="minorHAnsi"/>
          <w:szCs w:val="20"/>
        </w:rPr>
        <w:t xml:space="preserve">One minute video on family protection orders shown on EmTV (most viewed PNG television network), as a community announcement, at peak viewing times from the 21st of June to the 30th June 2021. </w:t>
      </w:r>
    </w:p>
    <w:p w14:paraId="28B6084D" w14:textId="77777777" w:rsidR="008A2813" w:rsidRPr="004D1655" w:rsidRDefault="008A2813" w:rsidP="008A2813">
      <w:pPr>
        <w:rPr>
          <w:szCs w:val="20"/>
          <w:u w:val="single"/>
        </w:rPr>
      </w:pPr>
    </w:p>
    <w:p w14:paraId="618BDEE4" w14:textId="77777777" w:rsidR="008A2813" w:rsidRPr="0041189D" w:rsidRDefault="008A2813" w:rsidP="008A2813">
      <w:pPr>
        <w:rPr>
          <w:sz w:val="24"/>
          <w:u w:val="single"/>
        </w:rPr>
      </w:pPr>
    </w:p>
    <w:p w14:paraId="670E2608" w14:textId="77777777" w:rsidR="008A2813" w:rsidRPr="008A2813" w:rsidRDefault="008A2813" w:rsidP="002B1A3B">
      <w:pPr>
        <w:pStyle w:val="Heading1"/>
        <w:pageBreakBefore/>
      </w:pPr>
      <w:bookmarkStart w:id="12" w:name="_Toc75947109"/>
      <w:r w:rsidRPr="008A2813">
        <w:lastRenderedPageBreak/>
        <w:t>APPENDIX A</w:t>
      </w:r>
      <w:bookmarkEnd w:id="12"/>
      <w:r w:rsidRPr="008A2813">
        <w:t xml:space="preserve"> </w:t>
      </w:r>
    </w:p>
    <w:p w14:paraId="24D5F7F8" w14:textId="77777777" w:rsidR="008A2813" w:rsidRPr="0041189D" w:rsidRDefault="008A2813" w:rsidP="004D1655">
      <w:pPr>
        <w:pStyle w:val="Heading2"/>
      </w:pPr>
      <w:bookmarkStart w:id="13" w:name="_Toc75947110"/>
      <w:r w:rsidRPr="0041189D">
        <w:t>Criminal offences that may relate to or are defined as domestic, family or sexual violence</w:t>
      </w:r>
      <w:r>
        <w:t xml:space="preserve"> (Putt and Dinnen 2020b: p.5)</w:t>
      </w:r>
      <w:bookmarkEnd w:id="13"/>
    </w:p>
    <w:p w14:paraId="3F96B09F" w14:textId="77777777" w:rsidR="008A2813" w:rsidRPr="00203391" w:rsidRDefault="008A2813" w:rsidP="008A2813">
      <w:pPr>
        <w:pStyle w:val="Heading5"/>
        <w:jc w:val="both"/>
        <w:rPr>
          <w:rFonts w:cstheme="majorHAns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1959"/>
        <w:gridCol w:w="3475"/>
        <w:gridCol w:w="1673"/>
        <w:gridCol w:w="1772"/>
      </w:tblGrid>
      <w:tr w:rsidR="008A2813" w:rsidRPr="009318BC" w14:paraId="61485122" w14:textId="77777777" w:rsidTr="00EE561A">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302A133"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b/>
                <w:bCs/>
                <w:szCs w:val="20"/>
                <w:lang w:eastAsia="en-AU"/>
              </w:rPr>
              <w:t>Category</w:t>
            </w:r>
            <w:r>
              <w:rPr>
                <w:rFonts w:asciiTheme="majorHAnsi" w:eastAsia="Times New Roman" w:hAnsiTheme="majorHAnsi" w:cstheme="majorHAnsi"/>
                <w:szCs w:val="20"/>
                <w:lang w:eastAsia="en-AU"/>
              </w:rPr>
              <w:t xml:space="preserve"> </w:t>
            </w:r>
          </w:p>
        </w:tc>
        <w:tc>
          <w:tcPr>
            <w:tcW w:w="3540" w:type="dxa"/>
            <w:tcBorders>
              <w:top w:val="single" w:sz="6" w:space="0" w:color="auto"/>
              <w:left w:val="nil"/>
              <w:bottom w:val="single" w:sz="6" w:space="0" w:color="auto"/>
              <w:right w:val="single" w:sz="6" w:space="0" w:color="auto"/>
            </w:tcBorders>
            <w:shd w:val="clear" w:color="auto" w:fill="auto"/>
            <w:hideMark/>
          </w:tcPr>
          <w:p w14:paraId="66EEE868"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b/>
                <w:bCs/>
                <w:szCs w:val="20"/>
                <w:lang w:eastAsia="en-AU"/>
              </w:rPr>
              <w:t>Common</w:t>
            </w:r>
            <w:r>
              <w:rPr>
                <w:rFonts w:asciiTheme="majorHAnsi" w:eastAsia="Times New Roman" w:hAnsiTheme="majorHAnsi" w:cstheme="majorHAnsi"/>
                <w:b/>
                <w:bCs/>
                <w:szCs w:val="20"/>
                <w:lang w:eastAsia="en-AU"/>
              </w:rPr>
              <w:t xml:space="preserve"> </w:t>
            </w:r>
            <w:r w:rsidRPr="009318BC">
              <w:rPr>
                <w:rFonts w:asciiTheme="majorHAnsi" w:eastAsia="Times New Roman" w:hAnsiTheme="majorHAnsi" w:cstheme="majorHAnsi"/>
                <w:b/>
                <w:bCs/>
                <w:szCs w:val="20"/>
                <w:lang w:eastAsia="en-AU"/>
              </w:rPr>
              <w:t>name</w:t>
            </w:r>
            <w:r>
              <w:rPr>
                <w:rFonts w:asciiTheme="majorHAnsi" w:eastAsia="Times New Roman" w:hAnsiTheme="majorHAnsi" w:cstheme="majorHAnsi"/>
                <w:szCs w:val="20"/>
                <w:lang w:eastAsia="en-AU"/>
              </w:rPr>
              <w:t xml:space="preserve"> </w:t>
            </w:r>
          </w:p>
        </w:tc>
        <w:tc>
          <w:tcPr>
            <w:tcW w:w="1695" w:type="dxa"/>
            <w:tcBorders>
              <w:top w:val="single" w:sz="6" w:space="0" w:color="auto"/>
              <w:left w:val="nil"/>
              <w:bottom w:val="single" w:sz="6" w:space="0" w:color="auto"/>
              <w:right w:val="single" w:sz="6" w:space="0" w:color="auto"/>
            </w:tcBorders>
            <w:shd w:val="clear" w:color="auto" w:fill="auto"/>
            <w:hideMark/>
          </w:tcPr>
          <w:p w14:paraId="7656D789"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b/>
                <w:bCs/>
                <w:szCs w:val="20"/>
                <w:lang w:eastAsia="en-AU"/>
              </w:rPr>
              <w:t>Act</w:t>
            </w:r>
            <w:r>
              <w:rPr>
                <w:rFonts w:asciiTheme="majorHAnsi" w:eastAsia="Times New Roman" w:hAnsiTheme="majorHAnsi" w:cstheme="majorHAnsi"/>
                <w:b/>
                <w:bCs/>
                <w:szCs w:val="20"/>
                <w:lang w:eastAsia="en-AU"/>
              </w:rPr>
              <w:t xml:space="preserve"> </w:t>
            </w:r>
            <w:r w:rsidRPr="009318BC">
              <w:rPr>
                <w:rFonts w:asciiTheme="majorHAnsi" w:eastAsia="Times New Roman" w:hAnsiTheme="majorHAnsi" w:cstheme="majorHAnsi"/>
                <w:b/>
                <w:bCs/>
                <w:szCs w:val="20"/>
                <w:lang w:eastAsia="en-AU"/>
              </w:rPr>
              <w:t>and</w:t>
            </w:r>
            <w:r>
              <w:rPr>
                <w:rFonts w:asciiTheme="majorHAnsi" w:eastAsia="Times New Roman" w:hAnsiTheme="majorHAnsi" w:cstheme="majorHAnsi"/>
                <w:b/>
                <w:bCs/>
                <w:szCs w:val="20"/>
                <w:lang w:eastAsia="en-AU"/>
              </w:rPr>
              <w:t xml:space="preserve"> </w:t>
            </w:r>
            <w:r w:rsidRPr="009318BC">
              <w:rPr>
                <w:rFonts w:asciiTheme="majorHAnsi" w:eastAsia="Times New Roman" w:hAnsiTheme="majorHAnsi" w:cstheme="majorHAnsi"/>
                <w:b/>
                <w:bCs/>
                <w:szCs w:val="20"/>
                <w:lang w:eastAsia="en-AU"/>
              </w:rPr>
              <w:t>section(s)</w:t>
            </w:r>
          </w:p>
        </w:tc>
        <w:tc>
          <w:tcPr>
            <w:tcW w:w="1785" w:type="dxa"/>
            <w:tcBorders>
              <w:top w:val="single" w:sz="6" w:space="0" w:color="auto"/>
              <w:left w:val="nil"/>
              <w:bottom w:val="single" w:sz="6" w:space="0" w:color="auto"/>
              <w:right w:val="single" w:sz="6" w:space="0" w:color="auto"/>
            </w:tcBorders>
            <w:shd w:val="clear" w:color="auto" w:fill="auto"/>
            <w:hideMark/>
          </w:tcPr>
          <w:p w14:paraId="7C97A956"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b/>
                <w:bCs/>
                <w:szCs w:val="20"/>
                <w:lang w:eastAsia="en-AU"/>
              </w:rPr>
              <w:t>Max</w:t>
            </w:r>
            <w:r>
              <w:rPr>
                <w:rFonts w:asciiTheme="majorHAnsi" w:eastAsia="Times New Roman" w:hAnsiTheme="majorHAnsi" w:cstheme="majorHAnsi"/>
                <w:b/>
                <w:bCs/>
                <w:szCs w:val="20"/>
                <w:lang w:eastAsia="en-AU"/>
              </w:rPr>
              <w:t xml:space="preserve"> </w:t>
            </w:r>
            <w:r w:rsidRPr="009318BC">
              <w:rPr>
                <w:rFonts w:asciiTheme="majorHAnsi" w:eastAsia="Times New Roman" w:hAnsiTheme="majorHAnsi" w:cstheme="majorHAnsi"/>
                <w:b/>
                <w:bCs/>
                <w:szCs w:val="20"/>
                <w:lang w:eastAsia="en-AU"/>
              </w:rPr>
              <w:t>imprisonment</w:t>
            </w:r>
            <w:r>
              <w:rPr>
                <w:rFonts w:asciiTheme="majorHAnsi" w:eastAsia="Times New Roman" w:hAnsiTheme="majorHAnsi" w:cstheme="majorHAnsi"/>
                <w:b/>
                <w:bCs/>
                <w:szCs w:val="20"/>
                <w:lang w:eastAsia="en-AU"/>
              </w:rPr>
              <w:t xml:space="preserve"> </w:t>
            </w:r>
            <w:r w:rsidRPr="009318BC">
              <w:rPr>
                <w:rFonts w:asciiTheme="majorHAnsi" w:eastAsia="Times New Roman" w:hAnsiTheme="majorHAnsi" w:cstheme="majorHAnsi"/>
                <w:b/>
                <w:bCs/>
                <w:szCs w:val="20"/>
                <w:lang w:eastAsia="en-AU"/>
              </w:rPr>
              <w:t>(in</w:t>
            </w:r>
            <w:r>
              <w:rPr>
                <w:rFonts w:asciiTheme="majorHAnsi" w:eastAsia="Times New Roman" w:hAnsiTheme="majorHAnsi" w:cstheme="majorHAnsi"/>
                <w:b/>
                <w:bCs/>
                <w:szCs w:val="20"/>
                <w:lang w:eastAsia="en-AU"/>
              </w:rPr>
              <w:t xml:space="preserve"> </w:t>
            </w:r>
            <w:r w:rsidRPr="009318BC">
              <w:rPr>
                <w:rFonts w:asciiTheme="majorHAnsi" w:eastAsia="Times New Roman" w:hAnsiTheme="majorHAnsi" w:cstheme="majorHAnsi"/>
                <w:b/>
                <w:bCs/>
                <w:szCs w:val="20"/>
                <w:lang w:eastAsia="en-AU"/>
              </w:rPr>
              <w:t>years)</w:t>
            </w:r>
            <w:r>
              <w:rPr>
                <w:rFonts w:asciiTheme="majorHAnsi" w:eastAsia="Times New Roman" w:hAnsiTheme="majorHAnsi" w:cstheme="majorHAnsi"/>
                <w:b/>
                <w:bCs/>
                <w:szCs w:val="20"/>
                <w:lang w:eastAsia="en-AU"/>
              </w:rPr>
              <w:t xml:space="preserve"> </w:t>
            </w:r>
            <w:r w:rsidRPr="009318BC">
              <w:rPr>
                <w:rFonts w:asciiTheme="majorHAnsi" w:eastAsia="Times New Roman" w:hAnsiTheme="majorHAnsi" w:cstheme="majorHAnsi"/>
                <w:b/>
                <w:bCs/>
                <w:szCs w:val="20"/>
                <w:lang w:eastAsia="en-AU"/>
              </w:rPr>
              <w:t>or</w:t>
            </w:r>
            <w:r>
              <w:rPr>
                <w:rFonts w:asciiTheme="majorHAnsi" w:eastAsia="Times New Roman" w:hAnsiTheme="majorHAnsi" w:cstheme="majorHAnsi"/>
                <w:b/>
                <w:bCs/>
                <w:szCs w:val="20"/>
                <w:lang w:eastAsia="en-AU"/>
              </w:rPr>
              <w:t xml:space="preserve"> </w:t>
            </w:r>
            <w:r w:rsidRPr="009318BC">
              <w:rPr>
                <w:rFonts w:asciiTheme="majorHAnsi" w:eastAsia="Times New Roman" w:hAnsiTheme="majorHAnsi" w:cstheme="majorHAnsi"/>
                <w:b/>
                <w:bCs/>
                <w:szCs w:val="20"/>
                <w:lang w:eastAsia="en-AU"/>
              </w:rPr>
              <w:t>penalty</w:t>
            </w:r>
          </w:p>
        </w:tc>
      </w:tr>
      <w:tr w:rsidR="008A2813" w:rsidRPr="009318BC" w14:paraId="6FC61033" w14:textId="77777777" w:rsidTr="00EE561A">
        <w:tc>
          <w:tcPr>
            <w:tcW w:w="1980" w:type="dxa"/>
            <w:vMerge w:val="restart"/>
            <w:tcBorders>
              <w:top w:val="nil"/>
              <w:left w:val="single" w:sz="6" w:space="0" w:color="auto"/>
              <w:bottom w:val="single" w:sz="6" w:space="0" w:color="auto"/>
              <w:right w:val="single" w:sz="6" w:space="0" w:color="auto"/>
            </w:tcBorders>
            <w:shd w:val="clear" w:color="auto" w:fill="auto"/>
            <w:hideMark/>
          </w:tcPr>
          <w:p w14:paraId="2E5D8029" w14:textId="77777777" w:rsidR="008A2813" w:rsidRDefault="008A2813" w:rsidP="00EE561A">
            <w:pPr>
              <w:spacing w:line="240" w:lineRule="auto"/>
              <w:textAlignment w:val="baseline"/>
              <w:rPr>
                <w:rFonts w:asciiTheme="majorHAnsi" w:eastAsia="Times New Roman" w:hAnsiTheme="majorHAnsi" w:cstheme="majorHAnsi"/>
                <w:szCs w:val="20"/>
                <w:lang w:eastAsia="en-AU"/>
              </w:rPr>
            </w:pPr>
            <w:r w:rsidRPr="009318BC">
              <w:rPr>
                <w:rFonts w:asciiTheme="majorHAnsi" w:eastAsia="Times New Roman" w:hAnsiTheme="majorHAnsi" w:cstheme="majorHAnsi"/>
                <w:szCs w:val="20"/>
                <w:lang w:eastAsia="en-AU"/>
              </w:rPr>
              <w:t>Indictable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offences</w:t>
            </w:r>
          </w:p>
          <w:p w14:paraId="540A7391"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szCs w:val="20"/>
                <w:lang w:eastAsia="en-AU"/>
              </w:rPr>
              <w:t>(</w:t>
            </w:r>
            <w:r w:rsidRPr="009318BC">
              <w:rPr>
                <w:rFonts w:asciiTheme="majorHAnsi" w:eastAsia="Times New Roman" w:hAnsiTheme="majorHAnsi" w:cstheme="majorHAnsi"/>
                <w:szCs w:val="20"/>
                <w:lang w:eastAsia="en-AU"/>
              </w:rPr>
              <w:t>i</w:t>
            </w:r>
            <w:r>
              <w:rPr>
                <w:rFonts w:asciiTheme="majorHAnsi" w:eastAsia="Times New Roman" w:hAnsiTheme="majorHAnsi" w:cstheme="majorHAnsi"/>
                <w:szCs w:val="20"/>
                <w:lang w:eastAsia="en-AU"/>
              </w:rPr>
              <w:t>.</w:t>
            </w:r>
            <w:r w:rsidRPr="009318BC">
              <w:rPr>
                <w:rFonts w:asciiTheme="majorHAnsi" w:eastAsia="Times New Roman" w:hAnsiTheme="majorHAnsi" w:cstheme="majorHAnsi"/>
                <w:szCs w:val="20"/>
                <w:lang w:eastAsia="en-AU"/>
              </w:rPr>
              <w:t>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punishable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by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imprisonment</w:t>
            </w:r>
            <w:r>
              <w:rPr>
                <w:rFonts w:asciiTheme="majorHAnsi" w:eastAsia="Times New Roman" w:hAnsiTheme="majorHAnsi" w:cstheme="majorHAnsi"/>
                <w:szCs w:val="20"/>
                <w:lang w:eastAsia="en-AU"/>
              </w:rPr>
              <w:t xml:space="preserve"> for </w:t>
            </w:r>
            <w:r w:rsidRPr="009318BC">
              <w:rPr>
                <w:rFonts w:asciiTheme="majorHAnsi" w:eastAsia="Times New Roman" w:hAnsiTheme="majorHAnsi" w:cstheme="majorHAnsi"/>
                <w:szCs w:val="20"/>
                <w:lang w:eastAsia="en-AU"/>
              </w:rPr>
              <w:t>more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than</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12</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months</w:t>
            </w:r>
            <w:r>
              <w:rPr>
                <w:rFonts w:asciiTheme="majorHAnsi" w:eastAsia="Times New Roman" w:hAnsiTheme="majorHAnsi" w:cstheme="majorHAnsi"/>
                <w:szCs w:val="20"/>
                <w:lang w:eastAsia="en-AU"/>
              </w:rPr>
              <w:t xml:space="preserve">) </w:t>
            </w:r>
          </w:p>
        </w:tc>
        <w:tc>
          <w:tcPr>
            <w:tcW w:w="3540" w:type="dxa"/>
            <w:tcBorders>
              <w:top w:val="nil"/>
              <w:left w:val="nil"/>
              <w:bottom w:val="single" w:sz="6" w:space="0" w:color="auto"/>
              <w:right w:val="single" w:sz="6" w:space="0" w:color="auto"/>
            </w:tcBorders>
            <w:shd w:val="clear" w:color="auto" w:fill="FAE8C5" w:themeFill="accent1" w:themeFillTint="33"/>
            <w:hideMark/>
          </w:tcPr>
          <w:p w14:paraId="3000773D"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Rape</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1CEB38C7"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347</w:t>
            </w:r>
          </w:p>
        </w:tc>
        <w:tc>
          <w:tcPr>
            <w:tcW w:w="1785" w:type="dxa"/>
            <w:tcBorders>
              <w:top w:val="nil"/>
              <w:left w:val="nil"/>
              <w:bottom w:val="single" w:sz="6" w:space="0" w:color="auto"/>
              <w:right w:val="single" w:sz="6" w:space="0" w:color="auto"/>
            </w:tcBorders>
            <w:shd w:val="clear" w:color="auto" w:fill="FAE8C5" w:themeFill="accent1" w:themeFillTint="33"/>
            <w:hideMark/>
          </w:tcPr>
          <w:p w14:paraId="06EDE710"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15</w:t>
            </w:r>
          </w:p>
        </w:tc>
      </w:tr>
      <w:tr w:rsidR="008A2813" w:rsidRPr="009318BC" w14:paraId="71F023D6"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C6867FF"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6C6A51AA"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Sexual</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assault</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45CBD128"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349</w:t>
            </w:r>
          </w:p>
        </w:tc>
        <w:tc>
          <w:tcPr>
            <w:tcW w:w="1785" w:type="dxa"/>
            <w:tcBorders>
              <w:top w:val="nil"/>
              <w:left w:val="nil"/>
              <w:bottom w:val="single" w:sz="6" w:space="0" w:color="auto"/>
              <w:right w:val="single" w:sz="6" w:space="0" w:color="auto"/>
            </w:tcBorders>
            <w:shd w:val="clear" w:color="auto" w:fill="FAE8C5" w:themeFill="accent1" w:themeFillTint="33"/>
            <w:hideMark/>
          </w:tcPr>
          <w:p w14:paraId="3723C2AC"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5</w:t>
            </w:r>
          </w:p>
        </w:tc>
      </w:tr>
      <w:tr w:rsidR="008A2813" w:rsidRPr="009318BC" w14:paraId="116AC92B"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49BC367"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06A4073C"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Sexual</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penetration</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child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under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16</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5DB640D7"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299</w:t>
            </w:r>
            <w:r>
              <w:rPr>
                <w:rFonts w:asciiTheme="majorHAnsi" w:eastAsia="Times New Roman" w:hAnsiTheme="majorHAnsi" w:cstheme="majorHAnsi"/>
                <w:szCs w:val="20"/>
                <w:lang w:eastAsia="en-AU"/>
              </w:rPr>
              <w:t>A</w:t>
            </w:r>
          </w:p>
        </w:tc>
        <w:tc>
          <w:tcPr>
            <w:tcW w:w="1785" w:type="dxa"/>
            <w:tcBorders>
              <w:top w:val="nil"/>
              <w:left w:val="nil"/>
              <w:bottom w:val="single" w:sz="6" w:space="0" w:color="auto"/>
              <w:right w:val="single" w:sz="6" w:space="0" w:color="auto"/>
            </w:tcBorders>
            <w:shd w:val="clear" w:color="auto" w:fill="FAE8C5" w:themeFill="accent1" w:themeFillTint="33"/>
            <w:hideMark/>
          </w:tcPr>
          <w:p w14:paraId="33E27337"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25</w:t>
            </w:r>
          </w:p>
        </w:tc>
      </w:tr>
      <w:tr w:rsidR="008A2813" w:rsidRPr="009318BC" w14:paraId="0238ED9C"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8B43556"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446EFF5B"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Sexual</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penetration</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child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under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12</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71471B19"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299</w:t>
            </w:r>
            <w:r>
              <w:rPr>
                <w:rFonts w:asciiTheme="majorHAnsi" w:eastAsia="Times New Roman" w:hAnsiTheme="majorHAnsi" w:cstheme="majorHAnsi"/>
                <w:szCs w:val="20"/>
                <w:lang w:eastAsia="en-AU"/>
              </w:rPr>
              <w:t>A</w:t>
            </w:r>
          </w:p>
        </w:tc>
        <w:tc>
          <w:tcPr>
            <w:tcW w:w="1785" w:type="dxa"/>
            <w:tcBorders>
              <w:top w:val="nil"/>
              <w:left w:val="nil"/>
              <w:bottom w:val="single" w:sz="6" w:space="0" w:color="auto"/>
              <w:right w:val="single" w:sz="6" w:space="0" w:color="auto"/>
            </w:tcBorders>
            <w:shd w:val="clear" w:color="auto" w:fill="FAE8C5" w:themeFill="accent1" w:themeFillTint="33"/>
            <w:hideMark/>
          </w:tcPr>
          <w:p w14:paraId="4FE79481"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life</w:t>
            </w:r>
          </w:p>
        </w:tc>
      </w:tr>
      <w:tr w:rsidR="008A2813" w:rsidRPr="009318BC" w14:paraId="6BF2EC62"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D003DDB"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6D51DFA3"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Sexual</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penetration</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touching</w:t>
            </w:r>
            <w:r>
              <w:rPr>
                <w:rFonts w:asciiTheme="majorHAnsi" w:eastAsia="Times New Roman" w:hAnsiTheme="majorHAnsi" w:cstheme="majorHAnsi"/>
                <w:szCs w:val="20"/>
                <w:lang w:eastAsia="en-AU"/>
              </w:rPr>
              <w:t xml:space="preserve"> aged </w:t>
            </w:r>
            <w:r w:rsidRPr="009318BC">
              <w:rPr>
                <w:rFonts w:asciiTheme="majorHAnsi" w:eastAsia="Times New Roman" w:hAnsiTheme="majorHAnsi" w:cstheme="majorHAnsi"/>
                <w:szCs w:val="20"/>
                <w:lang w:eastAsia="en-AU"/>
              </w:rPr>
              <w:t>16</w:t>
            </w:r>
            <w:r>
              <w:rPr>
                <w:rFonts w:asciiTheme="majorHAnsi" w:eastAsia="Times New Roman" w:hAnsiTheme="majorHAnsi" w:cstheme="majorHAnsi"/>
                <w:szCs w:val="20"/>
                <w:lang w:eastAsia="en-AU"/>
              </w:rPr>
              <w:t xml:space="preserve"> to </w:t>
            </w:r>
            <w:r w:rsidRPr="009318BC">
              <w:rPr>
                <w:rFonts w:asciiTheme="majorHAnsi" w:eastAsia="Times New Roman" w:hAnsiTheme="majorHAnsi" w:cstheme="majorHAnsi"/>
                <w:szCs w:val="20"/>
                <w:lang w:eastAsia="en-AU"/>
              </w:rPr>
              <w:t>18</w:t>
            </w:r>
            <w:r>
              <w:rPr>
                <w:rFonts w:asciiTheme="majorHAnsi" w:eastAsia="Times New Roman" w:hAnsiTheme="majorHAnsi" w:cstheme="majorHAnsi"/>
                <w:szCs w:val="20"/>
                <w:lang w:eastAsia="en-AU"/>
              </w:rPr>
              <w:t xml:space="preserve"> years </w:t>
            </w:r>
            <w:r w:rsidRPr="009318BC">
              <w:rPr>
                <w:rFonts w:asciiTheme="majorHAnsi" w:eastAsia="Times New Roman" w:hAnsiTheme="majorHAnsi" w:cstheme="majorHAnsi"/>
                <w:szCs w:val="20"/>
                <w:lang w:eastAsia="en-AU"/>
              </w:rPr>
              <w:t>where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r</w:t>
            </w:r>
            <w:r>
              <w:rPr>
                <w:rFonts w:asciiTheme="majorHAnsi" w:eastAsia="Times New Roman" w:hAnsiTheme="majorHAnsi" w:cstheme="majorHAnsi"/>
                <w:szCs w:val="20"/>
                <w:lang w:eastAsia="en-AU"/>
              </w:rPr>
              <w:t>elationshi</w:t>
            </w:r>
            <w:r w:rsidRPr="009318BC">
              <w:rPr>
                <w:rFonts w:asciiTheme="majorHAnsi" w:eastAsia="Times New Roman" w:hAnsiTheme="majorHAnsi" w:cstheme="majorHAnsi"/>
                <w:szCs w:val="20"/>
                <w:lang w:eastAsia="en-AU"/>
              </w:rPr>
              <w:t>p</w:t>
            </w:r>
            <w:r>
              <w:rPr>
                <w:rFonts w:asciiTheme="majorHAnsi" w:eastAsia="Times New Roman" w:hAnsiTheme="majorHAnsi" w:cstheme="majorHAnsi"/>
                <w:szCs w:val="20"/>
                <w:lang w:eastAsia="en-AU"/>
              </w:rPr>
              <w:t xml:space="preserve"> of </w:t>
            </w:r>
            <w:r w:rsidRPr="009318BC">
              <w:rPr>
                <w:rFonts w:asciiTheme="majorHAnsi" w:eastAsia="Times New Roman" w:hAnsiTheme="majorHAnsi" w:cstheme="majorHAnsi"/>
                <w:szCs w:val="20"/>
                <w:lang w:eastAsia="en-AU"/>
              </w:rPr>
              <w:t>trust,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authority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dependency</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78FD6254"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299</w:t>
            </w:r>
            <w:r>
              <w:rPr>
                <w:rFonts w:asciiTheme="majorHAnsi" w:eastAsia="Times New Roman" w:hAnsiTheme="majorHAnsi" w:cstheme="majorHAnsi"/>
                <w:szCs w:val="20"/>
                <w:lang w:eastAsia="en-AU"/>
              </w:rPr>
              <w:t>E</w:t>
            </w:r>
          </w:p>
        </w:tc>
        <w:tc>
          <w:tcPr>
            <w:tcW w:w="1785" w:type="dxa"/>
            <w:tcBorders>
              <w:top w:val="nil"/>
              <w:left w:val="nil"/>
              <w:bottom w:val="single" w:sz="6" w:space="0" w:color="auto"/>
              <w:right w:val="single" w:sz="6" w:space="0" w:color="auto"/>
            </w:tcBorders>
            <w:shd w:val="clear" w:color="auto" w:fill="FAE8C5" w:themeFill="accent1" w:themeFillTint="33"/>
            <w:hideMark/>
          </w:tcPr>
          <w:p w14:paraId="2BB222EF"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15</w:t>
            </w:r>
          </w:p>
        </w:tc>
      </w:tr>
      <w:tr w:rsidR="008A2813" w:rsidRPr="009318BC" w14:paraId="7F7C112D"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1636954"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3DCCB3ED"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Sexual</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touching</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711F60F6"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299</w:t>
            </w:r>
            <w:r>
              <w:rPr>
                <w:rFonts w:asciiTheme="majorHAnsi" w:eastAsia="Times New Roman" w:hAnsiTheme="majorHAnsi" w:cstheme="majorHAnsi"/>
                <w:szCs w:val="20"/>
                <w:lang w:eastAsia="en-AU"/>
              </w:rPr>
              <w:t>B</w:t>
            </w:r>
          </w:p>
        </w:tc>
        <w:tc>
          <w:tcPr>
            <w:tcW w:w="1785" w:type="dxa"/>
            <w:tcBorders>
              <w:top w:val="nil"/>
              <w:left w:val="nil"/>
              <w:bottom w:val="single" w:sz="6" w:space="0" w:color="auto"/>
              <w:right w:val="single" w:sz="6" w:space="0" w:color="auto"/>
            </w:tcBorders>
            <w:shd w:val="clear" w:color="auto" w:fill="FAE8C5" w:themeFill="accent1" w:themeFillTint="33"/>
            <w:hideMark/>
          </w:tcPr>
          <w:p w14:paraId="5BD7C3B6"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7</w:t>
            </w:r>
          </w:p>
        </w:tc>
      </w:tr>
      <w:tr w:rsidR="008A2813" w:rsidRPr="009318BC" w14:paraId="77D0FB12"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5ABF969"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418C19F8"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Indecent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act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child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under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16</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36CD1D5B"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299</w:t>
            </w:r>
            <w:r>
              <w:rPr>
                <w:rFonts w:asciiTheme="majorHAnsi" w:eastAsia="Times New Roman" w:hAnsiTheme="majorHAnsi" w:cstheme="majorHAnsi"/>
                <w:szCs w:val="20"/>
                <w:lang w:eastAsia="en-AU"/>
              </w:rPr>
              <w:t>C</w:t>
            </w:r>
          </w:p>
        </w:tc>
        <w:tc>
          <w:tcPr>
            <w:tcW w:w="1785" w:type="dxa"/>
            <w:tcBorders>
              <w:top w:val="nil"/>
              <w:left w:val="nil"/>
              <w:bottom w:val="single" w:sz="6" w:space="0" w:color="auto"/>
              <w:right w:val="single" w:sz="6" w:space="0" w:color="auto"/>
            </w:tcBorders>
            <w:shd w:val="clear" w:color="auto" w:fill="FAE8C5" w:themeFill="accent1" w:themeFillTint="33"/>
            <w:hideMark/>
          </w:tcPr>
          <w:p w14:paraId="75EBF2DD"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5</w:t>
            </w:r>
          </w:p>
        </w:tc>
      </w:tr>
      <w:tr w:rsidR="008A2813" w:rsidRPr="009318BC" w14:paraId="31DE24AE"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73CEC3C"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673F75AA"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Indecent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act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child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under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12</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0891D99F"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299</w:t>
            </w:r>
            <w:r>
              <w:rPr>
                <w:rFonts w:asciiTheme="majorHAnsi" w:eastAsia="Times New Roman" w:hAnsiTheme="majorHAnsi" w:cstheme="majorHAnsi"/>
                <w:szCs w:val="20"/>
                <w:lang w:eastAsia="en-AU"/>
              </w:rPr>
              <w:t>C</w:t>
            </w:r>
          </w:p>
        </w:tc>
        <w:tc>
          <w:tcPr>
            <w:tcW w:w="1785" w:type="dxa"/>
            <w:tcBorders>
              <w:top w:val="nil"/>
              <w:left w:val="nil"/>
              <w:bottom w:val="single" w:sz="6" w:space="0" w:color="auto"/>
              <w:right w:val="single" w:sz="6" w:space="0" w:color="auto"/>
            </w:tcBorders>
            <w:shd w:val="clear" w:color="auto" w:fill="FAE8C5" w:themeFill="accent1" w:themeFillTint="33"/>
            <w:hideMark/>
          </w:tcPr>
          <w:p w14:paraId="5E565A96"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7</w:t>
            </w:r>
          </w:p>
        </w:tc>
      </w:tr>
      <w:tr w:rsidR="008A2813" w:rsidRPr="009318BC" w14:paraId="011C16CF"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231E82D"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3FA4CC55"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Persistent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sexual</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abuse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child</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303FA562"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s. </w:t>
            </w:r>
            <w:r w:rsidRPr="009318BC">
              <w:rPr>
                <w:rFonts w:asciiTheme="majorHAnsi" w:eastAsia="Times New Roman" w:hAnsiTheme="majorHAnsi" w:cstheme="majorHAnsi"/>
                <w:szCs w:val="20"/>
                <w:lang w:eastAsia="en-AU"/>
              </w:rPr>
              <w:t>299</w:t>
            </w:r>
            <w:r>
              <w:rPr>
                <w:rFonts w:asciiTheme="majorHAnsi" w:eastAsia="Times New Roman" w:hAnsiTheme="majorHAnsi" w:cstheme="majorHAnsi"/>
                <w:szCs w:val="20"/>
                <w:lang w:eastAsia="en-AU"/>
              </w:rPr>
              <w:t>D</w:t>
            </w:r>
          </w:p>
        </w:tc>
        <w:tc>
          <w:tcPr>
            <w:tcW w:w="1785" w:type="dxa"/>
            <w:tcBorders>
              <w:top w:val="nil"/>
              <w:left w:val="nil"/>
              <w:bottom w:val="single" w:sz="6" w:space="0" w:color="auto"/>
              <w:right w:val="single" w:sz="6" w:space="0" w:color="auto"/>
            </w:tcBorders>
            <w:shd w:val="clear" w:color="auto" w:fill="FAE8C5" w:themeFill="accent1" w:themeFillTint="33"/>
            <w:hideMark/>
          </w:tcPr>
          <w:p w14:paraId="14B8658A"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15</w:t>
            </w:r>
          </w:p>
        </w:tc>
      </w:tr>
      <w:tr w:rsidR="008A2813" w:rsidRPr="009318BC" w14:paraId="39A45057"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DA3B51A"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7C677F3C"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Incest</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29890F81"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223</w:t>
            </w:r>
          </w:p>
        </w:tc>
        <w:tc>
          <w:tcPr>
            <w:tcW w:w="1785" w:type="dxa"/>
            <w:tcBorders>
              <w:top w:val="nil"/>
              <w:left w:val="nil"/>
              <w:bottom w:val="single" w:sz="6" w:space="0" w:color="auto"/>
              <w:right w:val="single" w:sz="6" w:space="0" w:color="auto"/>
            </w:tcBorders>
            <w:shd w:val="clear" w:color="auto" w:fill="FAE8C5" w:themeFill="accent1" w:themeFillTint="33"/>
            <w:hideMark/>
          </w:tcPr>
          <w:p w14:paraId="0A249CE9"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7</w:t>
            </w:r>
          </w:p>
        </w:tc>
      </w:tr>
      <w:tr w:rsidR="008A2813" w:rsidRPr="009318BC" w14:paraId="1A1D0917"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FAAEE32"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0B80F724"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Unnatural</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offences</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6D95E708"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210</w:t>
            </w:r>
          </w:p>
        </w:tc>
        <w:tc>
          <w:tcPr>
            <w:tcW w:w="1785" w:type="dxa"/>
            <w:tcBorders>
              <w:top w:val="nil"/>
              <w:left w:val="nil"/>
              <w:bottom w:val="single" w:sz="6" w:space="0" w:color="auto"/>
              <w:right w:val="single" w:sz="6" w:space="0" w:color="auto"/>
            </w:tcBorders>
            <w:shd w:val="clear" w:color="auto" w:fill="FAE8C5" w:themeFill="accent1" w:themeFillTint="33"/>
            <w:hideMark/>
          </w:tcPr>
          <w:p w14:paraId="2ACD1EA2"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14</w:t>
            </w:r>
          </w:p>
        </w:tc>
      </w:tr>
      <w:tr w:rsidR="008A2813" w:rsidRPr="009318BC" w14:paraId="653B8B56"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6F281D5"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006BB75A"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3F65AB8C"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p>
        </w:tc>
        <w:tc>
          <w:tcPr>
            <w:tcW w:w="1785" w:type="dxa"/>
            <w:tcBorders>
              <w:top w:val="nil"/>
              <w:left w:val="nil"/>
              <w:bottom w:val="single" w:sz="6" w:space="0" w:color="auto"/>
              <w:right w:val="single" w:sz="6" w:space="0" w:color="auto"/>
            </w:tcBorders>
            <w:shd w:val="clear" w:color="auto" w:fill="auto"/>
            <w:hideMark/>
          </w:tcPr>
          <w:p w14:paraId="3A72E803"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p>
        </w:tc>
      </w:tr>
      <w:tr w:rsidR="008A2813" w:rsidRPr="009318BC" w14:paraId="4B862951"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85D50B0"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6EED3FBC"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Murder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(and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attempted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murder)</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1EB2FA4C"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s</w:t>
            </w:r>
            <w:r w:rsidRPr="009318BC">
              <w:rPr>
                <w:rFonts w:asciiTheme="majorHAnsi" w:eastAsia="Times New Roman" w:hAnsiTheme="majorHAnsi" w:cstheme="majorHAnsi"/>
                <w:szCs w:val="20"/>
                <w:lang w:eastAsia="en-AU"/>
              </w:rPr>
              <w: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299,</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300,</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304</w:t>
            </w:r>
          </w:p>
        </w:tc>
        <w:tc>
          <w:tcPr>
            <w:tcW w:w="1785" w:type="dxa"/>
            <w:tcBorders>
              <w:top w:val="nil"/>
              <w:left w:val="nil"/>
              <w:bottom w:val="single" w:sz="6" w:space="0" w:color="auto"/>
              <w:right w:val="single" w:sz="6" w:space="0" w:color="auto"/>
            </w:tcBorders>
            <w:shd w:val="clear" w:color="auto" w:fill="auto"/>
            <w:hideMark/>
          </w:tcPr>
          <w:p w14:paraId="5338F7C5"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Death;</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life</w:t>
            </w:r>
          </w:p>
        </w:tc>
      </w:tr>
      <w:tr w:rsidR="008A2813" w:rsidRPr="009318BC" w14:paraId="6614C9AA"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4EBDFB7"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17F260C6"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Manslaughter</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487757FB"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302</w:t>
            </w:r>
          </w:p>
        </w:tc>
        <w:tc>
          <w:tcPr>
            <w:tcW w:w="1785" w:type="dxa"/>
            <w:tcBorders>
              <w:top w:val="nil"/>
              <w:left w:val="nil"/>
              <w:bottom w:val="single" w:sz="6" w:space="0" w:color="auto"/>
              <w:right w:val="single" w:sz="6" w:space="0" w:color="auto"/>
            </w:tcBorders>
            <w:shd w:val="clear" w:color="auto" w:fill="auto"/>
            <w:hideMark/>
          </w:tcPr>
          <w:p w14:paraId="25772009"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life</w:t>
            </w:r>
          </w:p>
        </w:tc>
      </w:tr>
      <w:tr w:rsidR="008A2813" w:rsidRPr="009318BC" w14:paraId="205F07B8"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6897B24"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2345DBA3"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Wounding</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and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similar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acts</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4A07C199"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322</w:t>
            </w:r>
          </w:p>
        </w:tc>
        <w:tc>
          <w:tcPr>
            <w:tcW w:w="1785" w:type="dxa"/>
            <w:tcBorders>
              <w:top w:val="nil"/>
              <w:left w:val="nil"/>
              <w:bottom w:val="single" w:sz="6" w:space="0" w:color="auto"/>
              <w:right w:val="single" w:sz="6" w:space="0" w:color="auto"/>
            </w:tcBorders>
            <w:shd w:val="clear" w:color="auto" w:fill="auto"/>
            <w:hideMark/>
          </w:tcPr>
          <w:p w14:paraId="269AEC11"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3</w:t>
            </w:r>
          </w:p>
        </w:tc>
      </w:tr>
      <w:tr w:rsidR="008A2813" w:rsidRPr="009318BC" w14:paraId="6D787A7A"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8B7D284"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3F140664"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Intent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to</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commit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grievous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bodily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harm</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7E460EA7"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315</w:t>
            </w:r>
          </w:p>
        </w:tc>
        <w:tc>
          <w:tcPr>
            <w:tcW w:w="1785" w:type="dxa"/>
            <w:tcBorders>
              <w:top w:val="nil"/>
              <w:left w:val="nil"/>
              <w:bottom w:val="single" w:sz="6" w:space="0" w:color="auto"/>
              <w:right w:val="single" w:sz="6" w:space="0" w:color="auto"/>
            </w:tcBorders>
            <w:shd w:val="clear" w:color="auto" w:fill="auto"/>
            <w:hideMark/>
          </w:tcPr>
          <w:p w14:paraId="60AD2530"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life</w:t>
            </w:r>
          </w:p>
        </w:tc>
      </w:tr>
      <w:tr w:rsidR="008A2813" w:rsidRPr="009318BC" w14:paraId="6D6F9863"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1FF8492"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028D9E66"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Commits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grievous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bodily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harm</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0E025BDD"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319</w:t>
            </w:r>
          </w:p>
        </w:tc>
        <w:tc>
          <w:tcPr>
            <w:tcW w:w="1785" w:type="dxa"/>
            <w:tcBorders>
              <w:top w:val="nil"/>
              <w:left w:val="nil"/>
              <w:bottom w:val="single" w:sz="6" w:space="0" w:color="auto"/>
              <w:right w:val="single" w:sz="6" w:space="0" w:color="auto"/>
            </w:tcBorders>
            <w:shd w:val="clear" w:color="auto" w:fill="auto"/>
            <w:hideMark/>
          </w:tcPr>
          <w:p w14:paraId="0B8AF898"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7</w:t>
            </w:r>
          </w:p>
        </w:tc>
      </w:tr>
      <w:tr w:rsidR="008A2813" w:rsidRPr="009318BC" w14:paraId="779862FA"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D35FE81"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4B719479"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Assault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occasioning</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bodily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harm</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5F59B84D"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340</w:t>
            </w:r>
          </w:p>
        </w:tc>
        <w:tc>
          <w:tcPr>
            <w:tcW w:w="1785" w:type="dxa"/>
            <w:tcBorders>
              <w:top w:val="nil"/>
              <w:left w:val="nil"/>
              <w:bottom w:val="single" w:sz="6" w:space="0" w:color="auto"/>
              <w:right w:val="single" w:sz="6" w:space="0" w:color="auto"/>
            </w:tcBorders>
            <w:shd w:val="clear" w:color="auto" w:fill="auto"/>
            <w:hideMark/>
          </w:tcPr>
          <w:p w14:paraId="100053B8"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3</w:t>
            </w:r>
          </w:p>
        </w:tc>
      </w:tr>
      <w:tr w:rsidR="008A2813" w:rsidRPr="009318BC" w14:paraId="1E6310A6"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C1A064F"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7D70D757"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Serious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assault</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6D023238"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341</w:t>
            </w:r>
          </w:p>
        </w:tc>
        <w:tc>
          <w:tcPr>
            <w:tcW w:w="1785" w:type="dxa"/>
            <w:tcBorders>
              <w:top w:val="nil"/>
              <w:left w:val="nil"/>
              <w:bottom w:val="single" w:sz="6" w:space="0" w:color="auto"/>
              <w:right w:val="single" w:sz="6" w:space="0" w:color="auto"/>
            </w:tcBorders>
            <w:shd w:val="clear" w:color="auto" w:fill="auto"/>
            <w:hideMark/>
          </w:tcPr>
          <w:p w14:paraId="084D73E0"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3</w:t>
            </w:r>
          </w:p>
        </w:tc>
      </w:tr>
      <w:tr w:rsidR="008A2813" w:rsidRPr="009318BC" w14:paraId="3D7EBFD6"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9827397"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7C994609"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Domestic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violence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offence</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1F20D3D6"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FPA</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6</w:t>
            </w:r>
          </w:p>
        </w:tc>
        <w:tc>
          <w:tcPr>
            <w:tcW w:w="1785" w:type="dxa"/>
            <w:tcBorders>
              <w:top w:val="nil"/>
              <w:left w:val="nil"/>
              <w:bottom w:val="single" w:sz="6" w:space="0" w:color="auto"/>
              <w:right w:val="single" w:sz="6" w:space="0" w:color="auto"/>
            </w:tcBorders>
            <w:shd w:val="clear" w:color="auto" w:fill="auto"/>
            <w:hideMark/>
          </w:tcPr>
          <w:p w14:paraId="496B894A"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2</w:t>
            </w:r>
          </w:p>
        </w:tc>
      </w:tr>
      <w:tr w:rsidR="008A2813" w:rsidRPr="009318BC" w14:paraId="03C955A6"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2925A6C"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03A3A75F"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Breach</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family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protection</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order</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38589B96"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FPA</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2.20</w:t>
            </w:r>
          </w:p>
        </w:tc>
        <w:tc>
          <w:tcPr>
            <w:tcW w:w="1785" w:type="dxa"/>
            <w:tcBorders>
              <w:top w:val="nil"/>
              <w:left w:val="nil"/>
              <w:bottom w:val="single" w:sz="6" w:space="0" w:color="auto"/>
              <w:right w:val="single" w:sz="6" w:space="0" w:color="auto"/>
            </w:tcBorders>
            <w:shd w:val="clear" w:color="auto" w:fill="auto"/>
            <w:hideMark/>
          </w:tcPr>
          <w:p w14:paraId="3A55AC8C"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3</w:t>
            </w:r>
          </w:p>
        </w:tc>
      </w:tr>
      <w:tr w:rsidR="008A2813" w:rsidRPr="009318BC" w14:paraId="2D065E9F" w14:textId="77777777" w:rsidTr="00EE561A">
        <w:tc>
          <w:tcPr>
            <w:tcW w:w="1980" w:type="dxa"/>
            <w:vMerge w:val="restart"/>
            <w:tcBorders>
              <w:top w:val="nil"/>
              <w:left w:val="single" w:sz="6" w:space="0" w:color="auto"/>
              <w:bottom w:val="single" w:sz="6" w:space="0" w:color="auto"/>
              <w:right w:val="single" w:sz="6" w:space="0" w:color="auto"/>
            </w:tcBorders>
            <w:shd w:val="clear" w:color="auto" w:fill="auto"/>
            <w:hideMark/>
          </w:tcPr>
          <w:p w14:paraId="5DE76C2A"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Indictable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offences</w:t>
            </w:r>
            <w:r>
              <w:rPr>
                <w:rFonts w:asciiTheme="majorHAnsi" w:eastAsia="Times New Roman" w:hAnsiTheme="majorHAnsi" w:cstheme="majorHAnsi"/>
                <w:szCs w:val="20"/>
                <w:lang w:eastAsia="en-AU"/>
              </w:rPr>
              <w:t xml:space="preserve"> that </w:t>
            </w:r>
            <w:r w:rsidRPr="009318BC">
              <w:rPr>
                <w:rFonts w:asciiTheme="majorHAnsi" w:eastAsia="Times New Roman" w:hAnsiTheme="majorHAnsi" w:cstheme="majorHAnsi"/>
                <w:szCs w:val="20"/>
                <w:lang w:eastAsia="en-AU"/>
              </w:rPr>
              <w:t>may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be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tried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summarily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by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Principal</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Magistrate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(see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420</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Schedule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and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under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Pt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V11</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the</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DCA)</w:t>
            </w:r>
            <w:r>
              <w:rPr>
                <w:rFonts w:asciiTheme="majorHAnsi" w:eastAsia="Times New Roman" w:hAnsiTheme="majorHAnsi" w:cstheme="majorHAnsi"/>
                <w:szCs w:val="20"/>
                <w:lang w:eastAsia="en-AU"/>
              </w:rPr>
              <w:t xml:space="preserve"> </w:t>
            </w:r>
          </w:p>
        </w:tc>
        <w:tc>
          <w:tcPr>
            <w:tcW w:w="3540" w:type="dxa"/>
            <w:tcBorders>
              <w:top w:val="nil"/>
              <w:left w:val="nil"/>
              <w:bottom w:val="single" w:sz="6" w:space="0" w:color="auto"/>
              <w:right w:val="single" w:sz="6" w:space="0" w:color="auto"/>
            </w:tcBorders>
            <w:shd w:val="clear" w:color="auto" w:fill="FAE8C5" w:themeFill="accent1" w:themeFillTint="33"/>
            <w:hideMark/>
          </w:tcPr>
          <w:p w14:paraId="122D5D34"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Defilement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girls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under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16</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and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idiots</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715D547A"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216</w:t>
            </w:r>
          </w:p>
        </w:tc>
        <w:tc>
          <w:tcPr>
            <w:tcW w:w="1785" w:type="dxa"/>
            <w:tcBorders>
              <w:top w:val="nil"/>
              <w:left w:val="nil"/>
              <w:bottom w:val="single" w:sz="6" w:space="0" w:color="auto"/>
              <w:right w:val="single" w:sz="6" w:space="0" w:color="auto"/>
            </w:tcBorders>
            <w:shd w:val="clear" w:color="auto" w:fill="FAE8C5" w:themeFill="accent1" w:themeFillTint="33"/>
            <w:hideMark/>
          </w:tcPr>
          <w:p w14:paraId="247EBC31"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p>
        </w:tc>
      </w:tr>
      <w:tr w:rsidR="008A2813" w:rsidRPr="009318BC" w14:paraId="44BA8291"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868C3CA"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FAE8C5" w:themeFill="accent1" w:themeFillTint="33"/>
            <w:hideMark/>
          </w:tcPr>
          <w:p w14:paraId="162C07E8"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Indecent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assault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on</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males</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FAE8C5" w:themeFill="accent1" w:themeFillTint="33"/>
            <w:hideMark/>
          </w:tcPr>
          <w:p w14:paraId="32381BDC"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337</w:t>
            </w:r>
          </w:p>
        </w:tc>
        <w:tc>
          <w:tcPr>
            <w:tcW w:w="1785" w:type="dxa"/>
            <w:tcBorders>
              <w:top w:val="nil"/>
              <w:left w:val="nil"/>
              <w:bottom w:val="single" w:sz="6" w:space="0" w:color="auto"/>
              <w:right w:val="single" w:sz="6" w:space="0" w:color="auto"/>
            </w:tcBorders>
            <w:shd w:val="clear" w:color="auto" w:fill="FAE8C5" w:themeFill="accent1" w:themeFillTint="33"/>
            <w:hideMark/>
          </w:tcPr>
          <w:p w14:paraId="2D9192D3"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3</w:t>
            </w:r>
          </w:p>
        </w:tc>
      </w:tr>
      <w:tr w:rsidR="008A2813" w:rsidRPr="009318BC" w14:paraId="6DE58E8F"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22FCD51"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3EE471B2"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5CEA8843"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p>
        </w:tc>
        <w:tc>
          <w:tcPr>
            <w:tcW w:w="1785" w:type="dxa"/>
            <w:tcBorders>
              <w:top w:val="nil"/>
              <w:left w:val="nil"/>
              <w:bottom w:val="single" w:sz="6" w:space="0" w:color="auto"/>
              <w:right w:val="single" w:sz="6" w:space="0" w:color="auto"/>
            </w:tcBorders>
            <w:shd w:val="clear" w:color="auto" w:fill="auto"/>
            <w:hideMark/>
          </w:tcPr>
          <w:p w14:paraId="2C7A60EF"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p>
        </w:tc>
      </w:tr>
      <w:tr w:rsidR="008A2813" w:rsidRPr="009318BC" w14:paraId="519C63ED"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A9AE6B5"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439170D1"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Wounding</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and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similar</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acts</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3DA1CB35"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322</w:t>
            </w:r>
          </w:p>
        </w:tc>
        <w:tc>
          <w:tcPr>
            <w:tcW w:w="1785" w:type="dxa"/>
            <w:tcBorders>
              <w:top w:val="nil"/>
              <w:left w:val="nil"/>
              <w:bottom w:val="single" w:sz="6" w:space="0" w:color="auto"/>
              <w:right w:val="single" w:sz="6" w:space="0" w:color="auto"/>
            </w:tcBorders>
            <w:shd w:val="clear" w:color="auto" w:fill="auto"/>
            <w:hideMark/>
          </w:tcPr>
          <w:p w14:paraId="02FD7C76"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3</w:t>
            </w:r>
          </w:p>
        </w:tc>
      </w:tr>
      <w:tr w:rsidR="008A2813" w:rsidRPr="009318BC" w14:paraId="374B009E"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7B2699E"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128AC02C"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Common</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assault</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6FFB0F81"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335</w:t>
            </w:r>
          </w:p>
        </w:tc>
        <w:tc>
          <w:tcPr>
            <w:tcW w:w="1785" w:type="dxa"/>
            <w:tcBorders>
              <w:top w:val="nil"/>
              <w:left w:val="nil"/>
              <w:bottom w:val="single" w:sz="6" w:space="0" w:color="auto"/>
              <w:right w:val="single" w:sz="6" w:space="0" w:color="auto"/>
            </w:tcBorders>
            <w:shd w:val="clear" w:color="auto" w:fill="auto"/>
            <w:hideMark/>
          </w:tcPr>
          <w:p w14:paraId="0D8EB88F"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1</w:t>
            </w:r>
          </w:p>
        </w:tc>
      </w:tr>
      <w:tr w:rsidR="008A2813" w:rsidRPr="009318BC" w14:paraId="78600201"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3638FDA"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2D9291F6"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Assault</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occasioning</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bodily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harm</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6AF65631"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340</w:t>
            </w:r>
          </w:p>
        </w:tc>
        <w:tc>
          <w:tcPr>
            <w:tcW w:w="1785" w:type="dxa"/>
            <w:tcBorders>
              <w:top w:val="nil"/>
              <w:left w:val="nil"/>
              <w:bottom w:val="single" w:sz="6" w:space="0" w:color="auto"/>
              <w:right w:val="single" w:sz="6" w:space="0" w:color="auto"/>
            </w:tcBorders>
            <w:shd w:val="clear" w:color="auto" w:fill="auto"/>
            <w:hideMark/>
          </w:tcPr>
          <w:p w14:paraId="07558F1D"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3</w:t>
            </w:r>
          </w:p>
        </w:tc>
      </w:tr>
      <w:tr w:rsidR="008A2813" w:rsidRPr="009318BC" w14:paraId="3B1E5372"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639E297"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45B68901"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Serious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assault</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06B2D684"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341</w:t>
            </w:r>
          </w:p>
        </w:tc>
        <w:tc>
          <w:tcPr>
            <w:tcW w:w="1785" w:type="dxa"/>
            <w:tcBorders>
              <w:top w:val="nil"/>
              <w:left w:val="nil"/>
              <w:bottom w:val="single" w:sz="6" w:space="0" w:color="auto"/>
              <w:right w:val="single" w:sz="6" w:space="0" w:color="auto"/>
            </w:tcBorders>
            <w:shd w:val="clear" w:color="auto" w:fill="auto"/>
            <w:hideMark/>
          </w:tcPr>
          <w:p w14:paraId="15DC2FB1"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3</w:t>
            </w:r>
          </w:p>
        </w:tc>
      </w:tr>
      <w:tr w:rsidR="008A2813" w:rsidRPr="009318BC" w14:paraId="3A9A6FE9"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5741475"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21419064"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6B4D1588"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p>
        </w:tc>
        <w:tc>
          <w:tcPr>
            <w:tcW w:w="1785" w:type="dxa"/>
            <w:tcBorders>
              <w:top w:val="nil"/>
              <w:left w:val="nil"/>
              <w:bottom w:val="single" w:sz="6" w:space="0" w:color="auto"/>
              <w:right w:val="single" w:sz="6" w:space="0" w:color="auto"/>
            </w:tcBorders>
            <w:shd w:val="clear" w:color="auto" w:fill="auto"/>
            <w:hideMark/>
          </w:tcPr>
          <w:p w14:paraId="073FEE02"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p>
        </w:tc>
      </w:tr>
      <w:tr w:rsidR="008A2813" w:rsidRPr="009318BC" w14:paraId="56F39F14" w14:textId="77777777" w:rsidTr="00EE561A">
        <w:tc>
          <w:tcPr>
            <w:tcW w:w="1980" w:type="dxa"/>
            <w:vMerge w:val="restart"/>
            <w:tcBorders>
              <w:top w:val="nil"/>
              <w:left w:val="single" w:sz="6" w:space="0" w:color="auto"/>
              <w:bottom w:val="single" w:sz="6" w:space="0" w:color="auto"/>
              <w:right w:val="single" w:sz="6" w:space="0" w:color="auto"/>
            </w:tcBorders>
            <w:shd w:val="clear" w:color="auto" w:fill="auto"/>
            <w:hideMark/>
          </w:tcPr>
          <w:p w14:paraId="51C4056D"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Summary</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offences,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tried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in</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the</w:t>
            </w:r>
            <w:r>
              <w:rPr>
                <w:rFonts w:asciiTheme="majorHAnsi" w:eastAsia="Times New Roman" w:hAnsiTheme="majorHAnsi" w:cstheme="majorHAnsi"/>
                <w:szCs w:val="20"/>
                <w:lang w:eastAsia="en-AU"/>
              </w:rPr>
              <w:t xml:space="preserve"> d</w:t>
            </w:r>
            <w:r w:rsidRPr="009318BC">
              <w:rPr>
                <w:rFonts w:asciiTheme="majorHAnsi" w:eastAsia="Times New Roman" w:hAnsiTheme="majorHAnsi" w:cstheme="majorHAnsi"/>
                <w:szCs w:val="20"/>
                <w:lang w:eastAsia="en-AU"/>
              </w:rPr>
              <w:t>istrict</w:t>
            </w:r>
            <w:r>
              <w:rPr>
                <w:rFonts w:asciiTheme="majorHAnsi" w:eastAsia="Times New Roman" w:hAnsiTheme="majorHAnsi" w:cstheme="majorHAnsi"/>
                <w:szCs w:val="20"/>
                <w:lang w:eastAsia="en-AU"/>
              </w:rPr>
              <w:t xml:space="preserve"> c</w:t>
            </w:r>
            <w:r w:rsidRPr="009318BC">
              <w:rPr>
                <w:rFonts w:asciiTheme="majorHAnsi" w:eastAsia="Times New Roman" w:hAnsiTheme="majorHAnsi" w:cstheme="majorHAnsi"/>
                <w:szCs w:val="20"/>
                <w:lang w:eastAsia="en-AU"/>
              </w:rPr>
              <w:t>ourt</w:t>
            </w:r>
            <w:r>
              <w:rPr>
                <w:rFonts w:asciiTheme="majorHAnsi" w:eastAsia="Times New Roman" w:hAnsiTheme="majorHAnsi" w:cstheme="majorHAnsi"/>
                <w:szCs w:val="20"/>
                <w:lang w:eastAsia="en-AU"/>
              </w:rPr>
              <w:t xml:space="preserve"> </w:t>
            </w:r>
          </w:p>
        </w:tc>
        <w:tc>
          <w:tcPr>
            <w:tcW w:w="3540" w:type="dxa"/>
            <w:tcBorders>
              <w:top w:val="nil"/>
              <w:left w:val="nil"/>
              <w:bottom w:val="single" w:sz="6" w:space="0" w:color="auto"/>
              <w:right w:val="single" w:sz="6" w:space="0" w:color="auto"/>
            </w:tcBorders>
            <w:shd w:val="clear" w:color="auto" w:fill="auto"/>
            <w:hideMark/>
          </w:tcPr>
          <w:p w14:paraId="681100E2"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Common</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assault</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6F5BD995"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343</w:t>
            </w:r>
          </w:p>
        </w:tc>
        <w:tc>
          <w:tcPr>
            <w:tcW w:w="1785" w:type="dxa"/>
            <w:tcBorders>
              <w:top w:val="nil"/>
              <w:left w:val="nil"/>
              <w:bottom w:val="single" w:sz="6" w:space="0" w:color="auto"/>
              <w:right w:val="single" w:sz="6" w:space="0" w:color="auto"/>
            </w:tcBorders>
            <w:shd w:val="clear" w:color="auto" w:fill="auto"/>
            <w:hideMark/>
          </w:tcPr>
          <w:p w14:paraId="31B71028"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6</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months</w:t>
            </w:r>
          </w:p>
        </w:tc>
      </w:tr>
      <w:tr w:rsidR="008A2813" w:rsidRPr="009318BC" w14:paraId="4A9E308E"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B2AA638"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0E379806"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Aggravated</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assault</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05CFE451"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CC</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344</w:t>
            </w:r>
          </w:p>
        </w:tc>
        <w:tc>
          <w:tcPr>
            <w:tcW w:w="1785" w:type="dxa"/>
            <w:tcBorders>
              <w:top w:val="nil"/>
              <w:left w:val="nil"/>
              <w:bottom w:val="single" w:sz="6" w:space="0" w:color="auto"/>
              <w:right w:val="single" w:sz="6" w:space="0" w:color="auto"/>
            </w:tcBorders>
            <w:shd w:val="clear" w:color="auto" w:fill="auto"/>
            <w:hideMark/>
          </w:tcPr>
          <w:p w14:paraId="1376AB81"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12</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months</w:t>
            </w:r>
          </w:p>
        </w:tc>
      </w:tr>
      <w:tr w:rsidR="008A2813" w:rsidRPr="009318BC" w14:paraId="33EE6A31"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1B9965F"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37CA8BBC"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Assault</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705F813D"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SOA</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6</w:t>
            </w:r>
          </w:p>
        </w:tc>
        <w:tc>
          <w:tcPr>
            <w:tcW w:w="1785" w:type="dxa"/>
            <w:tcBorders>
              <w:top w:val="nil"/>
              <w:left w:val="nil"/>
              <w:bottom w:val="single" w:sz="6" w:space="0" w:color="auto"/>
              <w:right w:val="single" w:sz="6" w:space="0" w:color="auto"/>
            </w:tcBorders>
            <w:shd w:val="clear" w:color="auto" w:fill="auto"/>
            <w:hideMark/>
          </w:tcPr>
          <w:p w14:paraId="1AEDE81D"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2</w:t>
            </w:r>
          </w:p>
        </w:tc>
      </w:tr>
      <w:tr w:rsidR="008A2813" w:rsidRPr="009318BC" w14:paraId="09F94C18"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C6CA27B"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4EA229DD"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Fighting</w:t>
            </w: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3E2CF3AE"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SOA</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s.</w:t>
            </w:r>
            <w:r>
              <w:rPr>
                <w:rFonts w:asciiTheme="majorHAnsi" w:eastAsia="Times New Roman" w:hAnsiTheme="majorHAnsi" w:cstheme="majorHAnsi"/>
                <w:szCs w:val="20"/>
                <w:lang w:eastAsia="en-AU"/>
              </w:rPr>
              <w:t xml:space="preserve"> </w:t>
            </w:r>
            <w:r w:rsidRPr="009318BC">
              <w:rPr>
                <w:rFonts w:asciiTheme="majorHAnsi" w:eastAsia="Times New Roman" w:hAnsiTheme="majorHAnsi" w:cstheme="majorHAnsi"/>
                <w:szCs w:val="20"/>
                <w:lang w:eastAsia="en-AU"/>
              </w:rPr>
              <w:t>10</w:t>
            </w:r>
          </w:p>
        </w:tc>
        <w:tc>
          <w:tcPr>
            <w:tcW w:w="1785" w:type="dxa"/>
            <w:tcBorders>
              <w:top w:val="nil"/>
              <w:left w:val="nil"/>
              <w:bottom w:val="single" w:sz="6" w:space="0" w:color="auto"/>
              <w:right w:val="single" w:sz="6" w:space="0" w:color="auto"/>
            </w:tcBorders>
            <w:shd w:val="clear" w:color="auto" w:fill="auto"/>
            <w:hideMark/>
          </w:tcPr>
          <w:p w14:paraId="5D8D1F5E"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9318BC">
              <w:rPr>
                <w:rFonts w:asciiTheme="majorHAnsi" w:eastAsia="Times New Roman" w:hAnsiTheme="majorHAnsi" w:cstheme="majorHAnsi"/>
                <w:szCs w:val="20"/>
                <w:lang w:eastAsia="en-AU"/>
              </w:rPr>
              <w:t>3</w:t>
            </w:r>
          </w:p>
        </w:tc>
      </w:tr>
      <w:tr w:rsidR="008A2813" w:rsidRPr="009318BC" w14:paraId="3D4C62D5" w14:textId="77777777" w:rsidTr="00EE561A">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BE8DA42" w14:textId="77777777" w:rsidR="008A2813" w:rsidRPr="009318BC" w:rsidRDefault="008A2813" w:rsidP="00EE561A">
            <w:pPr>
              <w:spacing w:line="240" w:lineRule="auto"/>
              <w:rPr>
                <w:rFonts w:asciiTheme="majorHAnsi" w:eastAsia="Times New Roman" w:hAnsiTheme="majorHAnsi" w:cstheme="majorHAnsi"/>
                <w:lang w:eastAsia="en-AU"/>
              </w:rPr>
            </w:pPr>
          </w:p>
        </w:tc>
        <w:tc>
          <w:tcPr>
            <w:tcW w:w="3540" w:type="dxa"/>
            <w:tcBorders>
              <w:top w:val="nil"/>
              <w:left w:val="nil"/>
              <w:bottom w:val="single" w:sz="6" w:space="0" w:color="auto"/>
              <w:right w:val="single" w:sz="6" w:space="0" w:color="auto"/>
            </w:tcBorders>
            <w:shd w:val="clear" w:color="auto" w:fill="auto"/>
            <w:hideMark/>
          </w:tcPr>
          <w:p w14:paraId="6F09EFE3" w14:textId="77777777" w:rsidR="008A2813" w:rsidRPr="009318BC" w:rsidRDefault="008A2813" w:rsidP="00EE561A">
            <w:pPr>
              <w:spacing w:line="240" w:lineRule="auto"/>
              <w:textAlignment w:val="baseline"/>
              <w:rPr>
                <w:rFonts w:asciiTheme="majorHAnsi" w:eastAsia="Times New Roman" w:hAnsiTheme="majorHAnsi" w:cstheme="majorHAnsi"/>
                <w:lang w:eastAsia="en-AU"/>
              </w:rPr>
            </w:pPr>
            <w:r>
              <w:rPr>
                <w:rFonts w:asciiTheme="majorHAnsi" w:eastAsia="Times New Roman" w:hAnsiTheme="majorHAnsi" w:cstheme="majorHAnsi"/>
                <w:szCs w:val="20"/>
                <w:lang w:eastAsia="en-AU"/>
              </w:rPr>
              <w:t xml:space="preserve"> </w:t>
            </w:r>
          </w:p>
        </w:tc>
        <w:tc>
          <w:tcPr>
            <w:tcW w:w="1695" w:type="dxa"/>
            <w:tcBorders>
              <w:top w:val="nil"/>
              <w:left w:val="nil"/>
              <w:bottom w:val="single" w:sz="6" w:space="0" w:color="auto"/>
              <w:right w:val="single" w:sz="6" w:space="0" w:color="auto"/>
            </w:tcBorders>
            <w:shd w:val="clear" w:color="auto" w:fill="auto"/>
            <w:hideMark/>
          </w:tcPr>
          <w:p w14:paraId="6B44D677"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p>
        </w:tc>
        <w:tc>
          <w:tcPr>
            <w:tcW w:w="1785" w:type="dxa"/>
            <w:tcBorders>
              <w:top w:val="nil"/>
              <w:left w:val="nil"/>
              <w:bottom w:val="single" w:sz="6" w:space="0" w:color="auto"/>
              <w:right w:val="single" w:sz="6" w:space="0" w:color="auto"/>
            </w:tcBorders>
            <w:shd w:val="clear" w:color="auto" w:fill="auto"/>
            <w:hideMark/>
          </w:tcPr>
          <w:p w14:paraId="4AE48EF0"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p>
        </w:tc>
      </w:tr>
      <w:tr w:rsidR="008A2813" w:rsidRPr="009318BC" w14:paraId="3023D7BA" w14:textId="77777777" w:rsidTr="00EE561A">
        <w:tc>
          <w:tcPr>
            <w:tcW w:w="1980" w:type="dxa"/>
            <w:tcBorders>
              <w:top w:val="nil"/>
              <w:left w:val="single" w:sz="6" w:space="0" w:color="auto"/>
              <w:bottom w:val="single" w:sz="6" w:space="0" w:color="auto"/>
              <w:right w:val="single" w:sz="6" w:space="0" w:color="auto"/>
            </w:tcBorders>
            <w:shd w:val="clear" w:color="auto" w:fill="auto"/>
            <w:hideMark/>
          </w:tcPr>
          <w:p w14:paraId="36785075" w14:textId="77777777" w:rsidR="008A2813" w:rsidRPr="00E76414" w:rsidRDefault="008A2813" w:rsidP="00EE561A">
            <w:pPr>
              <w:spacing w:line="240" w:lineRule="auto"/>
              <w:textAlignment w:val="baseline"/>
              <w:rPr>
                <w:rFonts w:asciiTheme="majorHAnsi" w:eastAsia="Times New Roman" w:hAnsiTheme="majorHAnsi" w:cstheme="majorHAnsi"/>
                <w:lang w:eastAsia="en-AU"/>
              </w:rPr>
            </w:pPr>
            <w:r w:rsidRPr="00E76414">
              <w:rPr>
                <w:rFonts w:asciiTheme="majorHAnsi" w:eastAsia="Times New Roman" w:hAnsiTheme="majorHAnsi" w:cstheme="majorHAnsi"/>
                <w:szCs w:val="20"/>
                <w:lang w:eastAsia="en-AU"/>
              </w:rPr>
              <w:t xml:space="preserve">Offences affecting village life (r. 3 of the VCR under s. 41 of the VCA) may be tried by the VCR </w:t>
            </w:r>
          </w:p>
        </w:tc>
        <w:tc>
          <w:tcPr>
            <w:tcW w:w="3540" w:type="dxa"/>
            <w:tcBorders>
              <w:top w:val="nil"/>
              <w:left w:val="nil"/>
              <w:bottom w:val="single" w:sz="6" w:space="0" w:color="auto"/>
              <w:right w:val="single" w:sz="6" w:space="0" w:color="auto"/>
            </w:tcBorders>
            <w:shd w:val="clear" w:color="auto" w:fill="auto"/>
            <w:hideMark/>
          </w:tcPr>
          <w:p w14:paraId="40B3727E" w14:textId="77777777" w:rsidR="008A2813" w:rsidRPr="00E76414" w:rsidRDefault="008A2813" w:rsidP="00EE561A">
            <w:pPr>
              <w:spacing w:line="240" w:lineRule="auto"/>
              <w:textAlignment w:val="baseline"/>
              <w:rPr>
                <w:rFonts w:asciiTheme="majorHAnsi" w:eastAsia="Times New Roman" w:hAnsiTheme="majorHAnsi" w:cstheme="majorHAnsi"/>
                <w:lang w:eastAsia="en-AU"/>
              </w:rPr>
            </w:pPr>
            <w:r w:rsidRPr="00E76414">
              <w:rPr>
                <w:rFonts w:asciiTheme="majorHAnsi" w:eastAsia="Times New Roman" w:hAnsiTheme="majorHAnsi" w:cstheme="majorHAnsi"/>
                <w:szCs w:val="20"/>
                <w:lang w:eastAsia="en-AU"/>
              </w:rPr>
              <w:t xml:space="preserve">Striking another person without reasonable cause </w:t>
            </w:r>
          </w:p>
        </w:tc>
        <w:tc>
          <w:tcPr>
            <w:tcW w:w="1695" w:type="dxa"/>
            <w:tcBorders>
              <w:top w:val="nil"/>
              <w:left w:val="nil"/>
              <w:bottom w:val="single" w:sz="6" w:space="0" w:color="auto"/>
              <w:right w:val="single" w:sz="6" w:space="0" w:color="auto"/>
            </w:tcBorders>
            <w:shd w:val="clear" w:color="auto" w:fill="auto"/>
            <w:hideMark/>
          </w:tcPr>
          <w:p w14:paraId="3F3C2B62"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r w:rsidRPr="00E76414">
              <w:rPr>
                <w:rFonts w:asciiTheme="majorHAnsi" w:eastAsia="Times New Roman" w:hAnsiTheme="majorHAnsi" w:cstheme="majorHAnsi"/>
                <w:szCs w:val="20"/>
                <w:lang w:eastAsia="en-AU"/>
              </w:rPr>
              <w:t>VCR r. 3(b)</w:t>
            </w:r>
          </w:p>
        </w:tc>
        <w:tc>
          <w:tcPr>
            <w:tcW w:w="1785" w:type="dxa"/>
            <w:tcBorders>
              <w:top w:val="nil"/>
              <w:left w:val="nil"/>
              <w:bottom w:val="single" w:sz="6" w:space="0" w:color="auto"/>
              <w:right w:val="single" w:sz="6" w:space="0" w:color="auto"/>
            </w:tcBorders>
            <w:shd w:val="clear" w:color="auto" w:fill="auto"/>
            <w:hideMark/>
          </w:tcPr>
          <w:p w14:paraId="02591FC1" w14:textId="77777777" w:rsidR="008A2813" w:rsidRPr="009318BC" w:rsidRDefault="008A2813" w:rsidP="00EE561A">
            <w:pPr>
              <w:spacing w:line="240" w:lineRule="auto"/>
              <w:jc w:val="center"/>
              <w:textAlignment w:val="baseline"/>
              <w:rPr>
                <w:rFonts w:asciiTheme="majorHAnsi" w:eastAsia="Times New Roman" w:hAnsiTheme="majorHAnsi" w:cstheme="majorHAnsi"/>
                <w:lang w:eastAsia="en-AU"/>
              </w:rPr>
            </w:pPr>
          </w:p>
        </w:tc>
      </w:tr>
    </w:tbl>
    <w:p w14:paraId="6A17BF48" w14:textId="77777777" w:rsidR="008A2813" w:rsidRPr="009318BC" w:rsidRDefault="008A2813" w:rsidP="008A2813">
      <w:pPr>
        <w:jc w:val="both"/>
        <w:textAlignment w:val="baseline"/>
        <w:rPr>
          <w:rFonts w:asciiTheme="majorHAnsi" w:eastAsia="Times New Roman" w:hAnsiTheme="majorHAnsi" w:cstheme="majorHAnsi"/>
          <w:sz w:val="18"/>
          <w:szCs w:val="18"/>
          <w:lang w:eastAsia="en-AU"/>
        </w:rPr>
      </w:pPr>
      <w:r>
        <w:rPr>
          <w:rFonts w:asciiTheme="majorHAnsi" w:eastAsia="Times New Roman" w:hAnsiTheme="majorHAnsi" w:cstheme="majorHAnsi"/>
          <w:lang w:eastAsia="en-AU"/>
        </w:rPr>
        <w:t xml:space="preserve"> *</w:t>
      </w:r>
      <w:r w:rsidRPr="00FD3F08">
        <w:rPr>
          <w:rFonts w:asciiTheme="majorHAnsi" w:eastAsia="Times New Roman" w:hAnsiTheme="majorHAnsi" w:cstheme="majorHAnsi"/>
          <w:szCs w:val="20"/>
          <w:lang w:eastAsia="en-AU"/>
        </w:rPr>
        <w:t>Sexual</w:t>
      </w:r>
      <w:r>
        <w:rPr>
          <w:rFonts w:asciiTheme="majorHAnsi" w:eastAsia="Times New Roman" w:hAnsiTheme="majorHAnsi" w:cstheme="majorHAnsi"/>
          <w:szCs w:val="20"/>
          <w:lang w:eastAsia="en-AU"/>
        </w:rPr>
        <w:t xml:space="preserve"> </w:t>
      </w:r>
      <w:r w:rsidRPr="00FD3F08">
        <w:rPr>
          <w:rFonts w:asciiTheme="majorHAnsi" w:eastAsia="Times New Roman" w:hAnsiTheme="majorHAnsi" w:cstheme="majorHAnsi"/>
          <w:szCs w:val="20"/>
          <w:lang w:eastAsia="en-AU"/>
        </w:rPr>
        <w:t>offences</w:t>
      </w:r>
      <w:r>
        <w:rPr>
          <w:rFonts w:asciiTheme="majorHAnsi" w:eastAsia="Times New Roman" w:hAnsiTheme="majorHAnsi" w:cstheme="majorHAnsi"/>
          <w:szCs w:val="20"/>
          <w:lang w:eastAsia="en-AU"/>
        </w:rPr>
        <w:t xml:space="preserve"> </w:t>
      </w:r>
      <w:r w:rsidRPr="00FD3F08">
        <w:rPr>
          <w:rFonts w:asciiTheme="majorHAnsi" w:eastAsia="Times New Roman" w:hAnsiTheme="majorHAnsi" w:cstheme="majorHAnsi"/>
          <w:szCs w:val="20"/>
          <w:lang w:eastAsia="en-AU"/>
        </w:rPr>
        <w:t>are</w:t>
      </w:r>
      <w:r>
        <w:rPr>
          <w:rFonts w:asciiTheme="majorHAnsi" w:eastAsia="Times New Roman" w:hAnsiTheme="majorHAnsi" w:cstheme="majorHAnsi"/>
          <w:szCs w:val="20"/>
          <w:lang w:eastAsia="en-AU"/>
        </w:rPr>
        <w:t xml:space="preserve"> </w:t>
      </w:r>
      <w:r w:rsidRPr="00FD3F08">
        <w:rPr>
          <w:rFonts w:asciiTheme="majorHAnsi" w:eastAsia="Times New Roman" w:hAnsiTheme="majorHAnsi" w:cstheme="majorHAnsi"/>
          <w:szCs w:val="20"/>
          <w:lang w:eastAsia="en-AU"/>
        </w:rPr>
        <w:t>shaded</w:t>
      </w:r>
      <w:r>
        <w:rPr>
          <w:rFonts w:asciiTheme="majorHAnsi" w:eastAsia="Times New Roman" w:hAnsiTheme="majorHAnsi" w:cstheme="majorHAnsi"/>
          <w:szCs w:val="20"/>
          <w:lang w:eastAsia="en-AU"/>
        </w:rPr>
        <w:t xml:space="preserve"> </w:t>
      </w:r>
      <w:r w:rsidRPr="00FD3F08">
        <w:rPr>
          <w:rFonts w:asciiTheme="majorHAnsi" w:eastAsia="Times New Roman" w:hAnsiTheme="majorHAnsi" w:cstheme="majorHAnsi"/>
          <w:szCs w:val="20"/>
          <w:lang w:eastAsia="en-AU"/>
        </w:rPr>
        <w:t>in</w:t>
      </w:r>
      <w:r>
        <w:rPr>
          <w:rFonts w:asciiTheme="majorHAnsi" w:eastAsia="Times New Roman" w:hAnsiTheme="majorHAnsi" w:cstheme="majorHAnsi"/>
          <w:szCs w:val="20"/>
          <w:lang w:eastAsia="en-AU"/>
        </w:rPr>
        <w:t xml:space="preserve"> </w:t>
      </w:r>
      <w:r w:rsidRPr="00FD3F08">
        <w:rPr>
          <w:rFonts w:asciiTheme="majorHAnsi" w:eastAsia="Times New Roman" w:hAnsiTheme="majorHAnsi" w:cstheme="majorHAnsi"/>
          <w:szCs w:val="20"/>
          <w:lang w:eastAsia="en-AU"/>
        </w:rPr>
        <w:t>the</w:t>
      </w:r>
      <w:r>
        <w:rPr>
          <w:rFonts w:asciiTheme="majorHAnsi" w:eastAsia="Times New Roman" w:hAnsiTheme="majorHAnsi" w:cstheme="majorHAnsi"/>
          <w:szCs w:val="20"/>
          <w:lang w:eastAsia="en-AU"/>
        </w:rPr>
        <w:t xml:space="preserve"> </w:t>
      </w:r>
      <w:r w:rsidRPr="00FD3F08">
        <w:rPr>
          <w:rFonts w:asciiTheme="majorHAnsi" w:eastAsia="Times New Roman" w:hAnsiTheme="majorHAnsi" w:cstheme="majorHAnsi"/>
          <w:szCs w:val="20"/>
          <w:lang w:eastAsia="en-AU"/>
        </w:rPr>
        <w:t>table.</w:t>
      </w:r>
    </w:p>
    <w:p w14:paraId="2C120D4A" w14:textId="77777777" w:rsidR="008A2813" w:rsidRPr="0041189D" w:rsidRDefault="008A2813" w:rsidP="008A2813">
      <w:pPr>
        <w:rPr>
          <w:sz w:val="24"/>
          <w:u w:val="single"/>
        </w:rPr>
      </w:pPr>
    </w:p>
    <w:p w14:paraId="4B94AB72" w14:textId="77777777" w:rsidR="008A2813" w:rsidRDefault="008A2813" w:rsidP="008A2813">
      <w:pPr>
        <w:rPr>
          <w:b/>
          <w:sz w:val="24"/>
          <w:u w:val="single"/>
        </w:rPr>
      </w:pPr>
      <w:r>
        <w:rPr>
          <w:b/>
          <w:sz w:val="24"/>
          <w:u w:val="single"/>
        </w:rPr>
        <w:br w:type="page"/>
      </w:r>
    </w:p>
    <w:p w14:paraId="21820CE8" w14:textId="77777777" w:rsidR="008A2813" w:rsidRPr="008A2813" w:rsidRDefault="008A2813" w:rsidP="002B1A3B">
      <w:pPr>
        <w:pStyle w:val="Heading1"/>
        <w:pageBreakBefore/>
      </w:pPr>
      <w:bookmarkStart w:id="14" w:name="_Toc75947111"/>
      <w:r w:rsidRPr="008A2813">
        <w:lastRenderedPageBreak/>
        <w:t>APPENDIX B</w:t>
      </w:r>
      <w:bookmarkEnd w:id="14"/>
      <w:r w:rsidRPr="008A2813">
        <w:t xml:space="preserve"> </w:t>
      </w:r>
    </w:p>
    <w:p w14:paraId="1C59038A" w14:textId="77777777" w:rsidR="004D1655" w:rsidRDefault="008A2813" w:rsidP="004D1655">
      <w:pPr>
        <w:pStyle w:val="Heading2"/>
      </w:pPr>
      <w:bookmarkStart w:id="15" w:name="_Toc75947112"/>
      <w:r w:rsidRPr="0067675E">
        <w:t>Summary of key findings from the FSV offences research project, from the report’s executive summary</w:t>
      </w:r>
      <w:r>
        <w:t xml:space="preserve"> (</w:t>
      </w:r>
      <w:r w:rsidRPr="00E75FF0">
        <w:t>Putt and Dinnen 2020).</w:t>
      </w:r>
      <w:bookmarkEnd w:id="15"/>
      <w:r>
        <w:t xml:space="preserve"> </w:t>
      </w:r>
    </w:p>
    <w:p w14:paraId="1535E79E" w14:textId="00A6DC2B" w:rsidR="008A2813" w:rsidRPr="002B1A3B" w:rsidRDefault="008A2813" w:rsidP="008A2813">
      <w:pPr>
        <w:rPr>
          <w:szCs w:val="20"/>
          <w:u w:val="single"/>
        </w:rPr>
      </w:pPr>
      <w:r w:rsidRPr="002B1A3B">
        <w:rPr>
          <w:szCs w:val="20"/>
        </w:rPr>
        <w:t>To quote:</w:t>
      </w:r>
    </w:p>
    <w:p w14:paraId="500348E0" w14:textId="77777777" w:rsidR="008A2813" w:rsidRPr="002B1A3B" w:rsidRDefault="008A2813" w:rsidP="008A2813">
      <w:pPr>
        <w:rPr>
          <w:szCs w:val="20"/>
        </w:rPr>
      </w:pPr>
      <w:r w:rsidRPr="002B1A3B">
        <w:rPr>
          <w:szCs w:val="20"/>
        </w:rPr>
        <w:t xml:space="preserve">Obtaining statistical data was extremely challenging, and there are major gaps in the picture that emerges.  It is impossible to say, based on the available evidence, whether rates of successful prosecution, the length of time cases take, and court outcomes have changed in the past five years. However, the data does give some insights into: </w:t>
      </w:r>
    </w:p>
    <w:p w14:paraId="290FA739" w14:textId="77777777" w:rsidR="008A2813" w:rsidRPr="002B1A3B" w:rsidRDefault="008A2813" w:rsidP="008A2813">
      <w:pPr>
        <w:rPr>
          <w:b/>
          <w:szCs w:val="20"/>
        </w:rPr>
      </w:pPr>
      <w:r w:rsidRPr="002B1A3B">
        <w:rPr>
          <w:b/>
          <w:szCs w:val="20"/>
        </w:rPr>
        <w:t xml:space="preserve">Trends in the past five years and current volume of FSV cases </w:t>
      </w:r>
    </w:p>
    <w:p w14:paraId="588EF41F" w14:textId="77777777" w:rsidR="008A2813" w:rsidRPr="002B1A3B" w:rsidRDefault="008A2813" w:rsidP="008A2813">
      <w:pPr>
        <w:rPr>
          <w:szCs w:val="20"/>
        </w:rPr>
      </w:pPr>
      <w:r w:rsidRPr="002B1A3B">
        <w:rPr>
          <w:szCs w:val="20"/>
        </w:rPr>
        <w:t xml:space="preserve">» An increase in reporting to police of FSV offences, including an increase in indictable FSV offences, notably in DFV offences. </w:t>
      </w:r>
    </w:p>
    <w:p w14:paraId="7F382EDC" w14:textId="77777777" w:rsidR="008A2813" w:rsidRPr="002B1A3B" w:rsidRDefault="008A2813" w:rsidP="008A2813">
      <w:pPr>
        <w:rPr>
          <w:szCs w:val="20"/>
        </w:rPr>
      </w:pPr>
      <w:r w:rsidRPr="002B1A3B">
        <w:rPr>
          <w:szCs w:val="20"/>
        </w:rPr>
        <w:t xml:space="preserve">» A slight increase in reported sexual offences with a slight decline in the average age of victims. </w:t>
      </w:r>
    </w:p>
    <w:p w14:paraId="296AB9D1" w14:textId="77777777" w:rsidR="008A2813" w:rsidRPr="002B1A3B" w:rsidRDefault="008A2813" w:rsidP="008A2813">
      <w:pPr>
        <w:rPr>
          <w:szCs w:val="20"/>
        </w:rPr>
      </w:pPr>
      <w:r w:rsidRPr="002B1A3B">
        <w:rPr>
          <w:szCs w:val="20"/>
        </w:rPr>
        <w:t xml:space="preserve">» A significant proportion of matters reported to frontline police (via the counter, by phone or otherwise) involves domestic or family violence. </w:t>
      </w:r>
    </w:p>
    <w:p w14:paraId="7E673F32" w14:textId="77777777" w:rsidR="008A2813" w:rsidRPr="002B1A3B" w:rsidRDefault="008A2813" w:rsidP="008A2813">
      <w:pPr>
        <w:rPr>
          <w:szCs w:val="20"/>
        </w:rPr>
      </w:pPr>
      <w:r w:rsidRPr="002B1A3B">
        <w:rPr>
          <w:szCs w:val="20"/>
        </w:rPr>
        <w:t xml:space="preserve">» An increasing number of sexual offences that occurred over an extended period of time, and not recently, are being reported to the Sexual Offences Squad (SOS). </w:t>
      </w:r>
    </w:p>
    <w:p w14:paraId="59F04AD0" w14:textId="77777777" w:rsidR="008A2813" w:rsidRPr="002B1A3B" w:rsidRDefault="008A2813" w:rsidP="008A2813">
      <w:pPr>
        <w:rPr>
          <w:szCs w:val="20"/>
        </w:rPr>
      </w:pPr>
      <w:r w:rsidRPr="002B1A3B">
        <w:rPr>
          <w:szCs w:val="20"/>
        </w:rPr>
        <w:t xml:space="preserve">» Summary offences involving DFV are very common in the District Court, estimated to be at least half of new listings. Sexual offences are a more dominant category in the National Court, and the Family and Sexual Offences (FASO) office statistics suggest domestic, rather than family, relationships are more common with serious violent offences such as homicide. </w:t>
      </w:r>
    </w:p>
    <w:p w14:paraId="7272EBE5" w14:textId="77777777" w:rsidR="008A2813" w:rsidRPr="002B1A3B" w:rsidRDefault="008A2813" w:rsidP="008A2813">
      <w:pPr>
        <w:rPr>
          <w:szCs w:val="20"/>
        </w:rPr>
      </w:pPr>
      <w:r w:rsidRPr="002B1A3B">
        <w:rPr>
          <w:b/>
          <w:szCs w:val="20"/>
        </w:rPr>
        <w:t>Characteristics of incidents, victims and defendants</w:t>
      </w:r>
      <w:r w:rsidRPr="002B1A3B">
        <w:rPr>
          <w:szCs w:val="20"/>
        </w:rPr>
        <w:t xml:space="preserve"> </w:t>
      </w:r>
    </w:p>
    <w:p w14:paraId="3DD0A455" w14:textId="77777777" w:rsidR="008A2813" w:rsidRPr="002B1A3B" w:rsidRDefault="008A2813" w:rsidP="008A2813">
      <w:pPr>
        <w:rPr>
          <w:szCs w:val="20"/>
        </w:rPr>
      </w:pPr>
      <w:r w:rsidRPr="002B1A3B">
        <w:rPr>
          <w:szCs w:val="20"/>
        </w:rPr>
        <w:t xml:space="preserve">» Based on police, public prosecutors’ and NGO services’ data, more than three-quarters of FSV victims are females. With sexual offences, girls rather than women are more likely to be victims, with almost three-quarters of victims who report to the SOS being aged under 18, and for all victims, with an average age of 15 to 16 years. With DFV, adult women victims are most likely to be in the 25 to under 35 age category. </w:t>
      </w:r>
    </w:p>
    <w:p w14:paraId="083D1957" w14:textId="77777777" w:rsidR="008A2813" w:rsidRPr="002B1A3B" w:rsidRDefault="008A2813" w:rsidP="008A2813">
      <w:pPr>
        <w:rPr>
          <w:szCs w:val="20"/>
        </w:rPr>
      </w:pPr>
      <w:r w:rsidRPr="002B1A3B">
        <w:rPr>
          <w:szCs w:val="20"/>
        </w:rPr>
        <w:t xml:space="preserve">» The majority of alleged offenders are adult males for both DFV and sexual offences. » In terms of more serious (indictable) offences, most sexual offences were committed by those close to the children, including what are referred to by the FASO office as ‘blood relatives’. </w:t>
      </w:r>
    </w:p>
    <w:p w14:paraId="2B01C485" w14:textId="77777777" w:rsidR="008A2813" w:rsidRPr="002B1A3B" w:rsidRDefault="008A2813" w:rsidP="008A2813">
      <w:pPr>
        <w:rPr>
          <w:szCs w:val="20"/>
        </w:rPr>
      </w:pPr>
      <w:r w:rsidRPr="002B1A3B">
        <w:rPr>
          <w:szCs w:val="20"/>
        </w:rPr>
        <w:t xml:space="preserve">» With serious DFV offences, an estimated 90% are believed by the FASO office to involve alcohol. </w:t>
      </w:r>
    </w:p>
    <w:p w14:paraId="7DDCF8B5" w14:textId="77777777" w:rsidR="008A2813" w:rsidRPr="002B1A3B" w:rsidRDefault="008A2813" w:rsidP="008A2813">
      <w:pPr>
        <w:rPr>
          <w:b/>
          <w:szCs w:val="20"/>
        </w:rPr>
      </w:pPr>
      <w:r w:rsidRPr="002B1A3B">
        <w:rPr>
          <w:b/>
          <w:szCs w:val="20"/>
        </w:rPr>
        <w:t xml:space="preserve">Outcomes in the past year </w:t>
      </w:r>
    </w:p>
    <w:p w14:paraId="213E2227" w14:textId="77777777" w:rsidR="008A2813" w:rsidRPr="002B1A3B" w:rsidRDefault="008A2813" w:rsidP="008A2813">
      <w:pPr>
        <w:rPr>
          <w:szCs w:val="20"/>
        </w:rPr>
      </w:pPr>
      <w:r w:rsidRPr="002B1A3B">
        <w:rPr>
          <w:szCs w:val="20"/>
        </w:rPr>
        <w:t xml:space="preserve">» Between 22% and 47% of cases recorded by five selected Family and Sexual Violence Units (FSVUs) are civil matters, with about one-third being the average, and therefore do not have a criminal justice outcome. </w:t>
      </w:r>
    </w:p>
    <w:p w14:paraId="67B1094F" w14:textId="77777777" w:rsidR="008A2813" w:rsidRPr="002B1A3B" w:rsidRDefault="008A2813" w:rsidP="008A2813">
      <w:pPr>
        <w:rPr>
          <w:szCs w:val="20"/>
        </w:rPr>
      </w:pPr>
      <w:r w:rsidRPr="002B1A3B">
        <w:rPr>
          <w:szCs w:val="20"/>
        </w:rPr>
        <w:t xml:space="preserve">» Between 10% and 30% of cases recorded by five selected FSVUs are referred to what is categorised as ‘welfare’. </w:t>
      </w:r>
    </w:p>
    <w:p w14:paraId="0DBEFF0F" w14:textId="77777777" w:rsidR="008A2813" w:rsidRPr="002B1A3B" w:rsidRDefault="008A2813" w:rsidP="008A2813">
      <w:pPr>
        <w:rPr>
          <w:szCs w:val="20"/>
        </w:rPr>
      </w:pPr>
      <w:r w:rsidRPr="002B1A3B">
        <w:rPr>
          <w:szCs w:val="20"/>
        </w:rPr>
        <w:t xml:space="preserve">» Fewer than 10% of FSVU cases result in an arrest by a FSVU officer. </w:t>
      </w:r>
    </w:p>
    <w:p w14:paraId="734B9061" w14:textId="77777777" w:rsidR="008A2813" w:rsidRPr="002B1A3B" w:rsidRDefault="008A2813" w:rsidP="008A2813">
      <w:pPr>
        <w:rPr>
          <w:szCs w:val="20"/>
        </w:rPr>
      </w:pPr>
      <w:r w:rsidRPr="002B1A3B">
        <w:rPr>
          <w:szCs w:val="20"/>
        </w:rPr>
        <w:t xml:space="preserve">» The Criminal Investigation Division (CID) has a higher arrest rate, with the SOS making an arrest in at least one-third of cases. </w:t>
      </w:r>
    </w:p>
    <w:p w14:paraId="34EEC057" w14:textId="77777777" w:rsidR="008A2813" w:rsidRPr="002B1A3B" w:rsidRDefault="008A2813" w:rsidP="008A2813">
      <w:pPr>
        <w:rPr>
          <w:szCs w:val="20"/>
        </w:rPr>
      </w:pPr>
      <w:r w:rsidRPr="002B1A3B">
        <w:rPr>
          <w:szCs w:val="20"/>
        </w:rPr>
        <w:t xml:space="preserve">» With all agencies involved in the criminal justice system, the outcome of cases is often unknown, as the outcomes are recorded as pending or active, with FSVUs varying between 6% and 17% of cases, the FASO office at 33% and with National Court violence-related offences in selected locations at 42%. </w:t>
      </w:r>
    </w:p>
    <w:p w14:paraId="4655A10C" w14:textId="77777777" w:rsidR="008A2813" w:rsidRPr="002B1A3B" w:rsidRDefault="008A2813" w:rsidP="008A2813">
      <w:pPr>
        <w:rPr>
          <w:szCs w:val="20"/>
        </w:rPr>
      </w:pPr>
      <w:r w:rsidRPr="002B1A3B">
        <w:rPr>
          <w:b/>
          <w:szCs w:val="20"/>
        </w:rPr>
        <w:t>Variability in focus and practices</w:t>
      </w:r>
      <w:r w:rsidRPr="002B1A3B">
        <w:rPr>
          <w:szCs w:val="20"/>
        </w:rPr>
        <w:t xml:space="preserve"> </w:t>
      </w:r>
    </w:p>
    <w:p w14:paraId="5E102239" w14:textId="77777777" w:rsidR="008A2813" w:rsidRPr="002B1A3B" w:rsidRDefault="008A2813" w:rsidP="008A2813">
      <w:pPr>
        <w:rPr>
          <w:szCs w:val="20"/>
        </w:rPr>
      </w:pPr>
      <w:r w:rsidRPr="002B1A3B">
        <w:rPr>
          <w:szCs w:val="20"/>
        </w:rPr>
        <w:lastRenderedPageBreak/>
        <w:t xml:space="preserve">» Available data showed considerable variability in the volume of cases, and to some extent trends, dealt with by FSVUs and National Courts in the selected locations, and by District Courts across PNG. Key stakeholders were positive about a range of changes that they had witnessed during the past five years in the three locations. These included: </w:t>
      </w:r>
    </w:p>
    <w:p w14:paraId="2BFDCEE2" w14:textId="77777777" w:rsidR="008A2813" w:rsidRPr="002B1A3B" w:rsidRDefault="008A2813" w:rsidP="008A2813">
      <w:pPr>
        <w:ind w:left="720"/>
        <w:rPr>
          <w:szCs w:val="20"/>
        </w:rPr>
      </w:pPr>
      <w:r w:rsidRPr="002B1A3B">
        <w:rPr>
          <w:szCs w:val="20"/>
        </w:rPr>
        <w:t xml:space="preserve">» Greater sensitisation to FSV and improved treatment of survivors by justice personnel </w:t>
      </w:r>
    </w:p>
    <w:p w14:paraId="42F67657" w14:textId="77777777" w:rsidR="008A2813" w:rsidRPr="002B1A3B" w:rsidRDefault="008A2813" w:rsidP="008A2813">
      <w:pPr>
        <w:ind w:left="720"/>
        <w:rPr>
          <w:szCs w:val="20"/>
        </w:rPr>
      </w:pPr>
      <w:r w:rsidRPr="002B1A3B">
        <w:rPr>
          <w:szCs w:val="20"/>
        </w:rPr>
        <w:t xml:space="preserve">» Better referral networks, improved provision of medical statements for court cases </w:t>
      </w:r>
    </w:p>
    <w:p w14:paraId="0426B0F7" w14:textId="77777777" w:rsidR="008A2813" w:rsidRPr="002B1A3B" w:rsidRDefault="008A2813" w:rsidP="008A2813">
      <w:pPr>
        <w:ind w:left="720"/>
        <w:rPr>
          <w:szCs w:val="20"/>
        </w:rPr>
      </w:pPr>
      <w:r w:rsidRPr="002B1A3B">
        <w:rPr>
          <w:szCs w:val="20"/>
        </w:rPr>
        <w:t xml:space="preserve">» Enhanced knowledge and skills among key justice professionals such as senior police investigators and public prosecutors. </w:t>
      </w:r>
    </w:p>
    <w:p w14:paraId="5B5FA089" w14:textId="77777777" w:rsidR="008A2813" w:rsidRPr="0041189D" w:rsidRDefault="008A2813" w:rsidP="008A2813">
      <w:pPr>
        <w:rPr>
          <w:sz w:val="24"/>
          <w:u w:val="single"/>
        </w:rPr>
      </w:pPr>
    </w:p>
    <w:sectPr w:rsidR="008A2813" w:rsidRPr="0041189D" w:rsidSect="004C1F9F">
      <w:headerReference w:type="default" r:id="rId39"/>
      <w:footerReference w:type="default" r:id="rId40"/>
      <w:headerReference w:type="first" r:id="rId41"/>
      <w:footerReference w:type="first" r:id="rId42"/>
      <w:pgSz w:w="11900" w:h="16840"/>
      <w:pgMar w:top="1701" w:right="1134" w:bottom="1474" w:left="187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EBBB" w16cex:dateUtc="2021-06-30T0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506198" w16cid:durableId="2486EB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87308" w14:textId="77777777" w:rsidR="002E5053" w:rsidRDefault="002E5053" w:rsidP="003B695F">
      <w:pPr>
        <w:spacing w:before="0" w:line="240" w:lineRule="auto"/>
      </w:pPr>
      <w:r>
        <w:separator/>
      </w:r>
    </w:p>
  </w:endnote>
  <w:endnote w:type="continuationSeparator" w:id="0">
    <w:p w14:paraId="08A848CD" w14:textId="77777777" w:rsidR="002E5053" w:rsidRDefault="002E5053" w:rsidP="003B69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Times New Roman"/>
    <w:charset w:val="4D"/>
    <w:family w:val="auto"/>
    <w:pitch w:val="variable"/>
    <w:sig w:usb0="A00000FF" w:usb1="4000205B" w:usb2="00000000" w:usb3="00000000" w:csb0="00000193" w:csb1="00000000"/>
  </w:font>
  <w:font w:name="Public Sans">
    <w:altName w:val="Times New Roman"/>
    <w:charset w:val="4D"/>
    <w:family w:val="auto"/>
    <w:pitch w:val="variable"/>
    <w:sig w:usb0="A00000FF" w:usb1="4000205B" w:usb2="00000000" w:usb3="00000000" w:csb0="00000193" w:csb1="00000000"/>
  </w:font>
  <w:font w:name="Times New Roman (Heading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E8F3" w14:textId="5ED53AC4" w:rsidR="0052259E" w:rsidRDefault="002E5053" w:rsidP="00D065F4">
    <w:pPr>
      <w:pStyle w:val="Footer"/>
      <w:framePr w:h="255" w:hRule="exact" w:wrap="none" w:vAnchor="text" w:hAnchor="page" w:x="10655" w:y="61"/>
      <w:spacing w:before="0"/>
      <w:jc w:val="right"/>
      <w:rPr>
        <w:rStyle w:val="PageNumber"/>
      </w:rPr>
    </w:pPr>
    <w:sdt>
      <w:sdtPr>
        <w:rPr>
          <w:rStyle w:val="PageNumber"/>
        </w:rPr>
        <w:id w:val="187193924"/>
        <w:docPartObj>
          <w:docPartGallery w:val="Page Numbers (Bottom of Page)"/>
          <w:docPartUnique/>
        </w:docPartObj>
      </w:sdtPr>
      <w:sdtEndPr>
        <w:rPr>
          <w:rStyle w:val="PageNumber"/>
        </w:rPr>
      </w:sdtEndPr>
      <w:sdtContent>
        <w:r w:rsidR="001910A0" w:rsidRPr="00631A09">
          <w:fldChar w:fldCharType="begin"/>
        </w:r>
        <w:r w:rsidR="001910A0" w:rsidRPr="00631A09">
          <w:instrText xml:space="preserve"> PAGE   \* MERGEFORMAT </w:instrText>
        </w:r>
        <w:r w:rsidR="001910A0" w:rsidRPr="00631A09">
          <w:fldChar w:fldCharType="separate"/>
        </w:r>
        <w:r w:rsidR="00183F67">
          <w:rPr>
            <w:noProof/>
          </w:rPr>
          <w:t>2</w:t>
        </w:r>
        <w:r w:rsidR="001910A0" w:rsidRPr="00631A09">
          <w:rPr>
            <w:noProof/>
          </w:rPr>
          <w:fldChar w:fldCharType="end"/>
        </w:r>
      </w:sdtContent>
    </w:sdt>
  </w:p>
  <w:p w14:paraId="21568D78" w14:textId="77777777" w:rsidR="0052259E" w:rsidRPr="00A84387" w:rsidRDefault="00F11EA2" w:rsidP="00A84387">
    <w:pPr>
      <w:pStyle w:val="Footer"/>
      <w:spacing w:before="40"/>
      <w:rPr>
        <w:sz w:val="20"/>
        <w:szCs w:val="20"/>
      </w:rPr>
    </w:pPr>
    <w:r w:rsidRPr="00A84387">
      <w:rPr>
        <w:sz w:val="20"/>
        <w:szCs w:val="20"/>
      </w:rPr>
      <w:t>The Australian National University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D8DA" w14:textId="5F751094" w:rsidR="00FE3ED1" w:rsidRDefault="002E5053" w:rsidP="00FE3ED1">
    <w:pPr>
      <w:pStyle w:val="Footer"/>
      <w:framePr w:h="255" w:hRule="exact" w:wrap="none" w:vAnchor="text" w:hAnchor="page" w:x="10655" w:y="61"/>
      <w:spacing w:before="0"/>
      <w:jc w:val="right"/>
      <w:rPr>
        <w:rStyle w:val="PageNumber"/>
      </w:rPr>
    </w:pPr>
    <w:sdt>
      <w:sdtPr>
        <w:rPr>
          <w:rStyle w:val="PageNumber"/>
        </w:rPr>
        <w:id w:val="-641348974"/>
        <w:docPartObj>
          <w:docPartGallery w:val="Page Numbers (Bottom of Page)"/>
          <w:docPartUnique/>
        </w:docPartObj>
      </w:sdtPr>
      <w:sdtEndPr>
        <w:rPr>
          <w:rStyle w:val="PageNumber"/>
        </w:rPr>
      </w:sdtEndPr>
      <w:sdtContent>
        <w:r w:rsidR="001910A0" w:rsidRPr="00631A09">
          <w:fldChar w:fldCharType="begin"/>
        </w:r>
        <w:r w:rsidR="001910A0" w:rsidRPr="00631A09">
          <w:instrText xml:space="preserve"> PAGE   \* MERGEFORMAT </w:instrText>
        </w:r>
        <w:r w:rsidR="001910A0" w:rsidRPr="00631A09">
          <w:fldChar w:fldCharType="separate"/>
        </w:r>
        <w:r w:rsidR="00183F67">
          <w:rPr>
            <w:noProof/>
          </w:rPr>
          <w:t>1</w:t>
        </w:r>
        <w:r w:rsidR="001910A0" w:rsidRPr="00631A09">
          <w:rPr>
            <w:noProof/>
          </w:rPr>
          <w:fldChar w:fldCharType="end"/>
        </w:r>
        <w:r w:rsidR="001910A0">
          <w:rPr>
            <w:noProof/>
          </w:rPr>
          <w:t xml:space="preserve"> </w:t>
        </w:r>
      </w:sdtContent>
    </w:sdt>
  </w:p>
  <w:p w14:paraId="3117208D" w14:textId="77777777" w:rsidR="0052259E" w:rsidRPr="00FE3ED1" w:rsidRDefault="00FE3ED1" w:rsidP="00FE3ED1">
    <w:pPr>
      <w:pStyle w:val="Footer"/>
      <w:spacing w:before="40"/>
      <w:rPr>
        <w:sz w:val="20"/>
        <w:szCs w:val="20"/>
      </w:rPr>
    </w:pPr>
    <w:r w:rsidRPr="00A84387">
      <w:rPr>
        <w:sz w:val="20"/>
        <w:szCs w:val="20"/>
      </w:rPr>
      <w:t>The Australian National 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4FD2" w14:textId="77777777" w:rsidR="002E5053" w:rsidRDefault="002E5053" w:rsidP="003B695F">
      <w:pPr>
        <w:spacing w:before="0" w:line="240" w:lineRule="auto"/>
      </w:pPr>
      <w:r>
        <w:separator/>
      </w:r>
    </w:p>
  </w:footnote>
  <w:footnote w:type="continuationSeparator" w:id="0">
    <w:p w14:paraId="4AAE83FE" w14:textId="77777777" w:rsidR="002E5053" w:rsidRDefault="002E5053" w:rsidP="003B695F">
      <w:pPr>
        <w:spacing w:before="0" w:line="240" w:lineRule="auto"/>
      </w:pPr>
      <w:r>
        <w:continuationSeparator/>
      </w:r>
    </w:p>
  </w:footnote>
  <w:footnote w:id="1">
    <w:p w14:paraId="7E9E996F" w14:textId="4903722C" w:rsidR="008A2813" w:rsidRDefault="008A2813" w:rsidP="008A2813">
      <w:pPr>
        <w:pStyle w:val="FootnoteText"/>
      </w:pPr>
      <w:r>
        <w:rPr>
          <w:rStyle w:val="FootnoteReference"/>
        </w:rPr>
        <w:footnoteRef/>
      </w:r>
      <w:r>
        <w:t xml:space="preserve"> Domestic violence was </w:t>
      </w:r>
      <w:r w:rsidR="008D0B30">
        <w:t>not a discrete</w:t>
      </w:r>
      <w:r>
        <w:t xml:space="preserve"> crime </w:t>
      </w:r>
      <w:r w:rsidR="00D178A6">
        <w:t>prior to this</w:t>
      </w:r>
      <w:r>
        <w:t>, but the perpetrator could and still can be charged with a range</w:t>
      </w:r>
      <w:r w:rsidR="008D0B30">
        <w:t xml:space="preserve"> of generic violence</w:t>
      </w:r>
      <w:r>
        <w:t xml:space="preserve"> offences such as assault and murder.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A1E2" w14:textId="77777777" w:rsidR="00EE6BC5" w:rsidRDefault="002954A0">
    <w:pPr>
      <w:pStyle w:val="Header"/>
    </w:pPr>
    <w:r>
      <w:rPr>
        <w:noProof/>
        <w:lang w:eastAsia="en-AU"/>
      </w:rPr>
      <w:drawing>
        <wp:anchor distT="0" distB="0" distL="114300" distR="114300" simplePos="0" relativeHeight="251666432" behindDoc="1" locked="0" layoutInCell="1" allowOverlap="1" wp14:anchorId="454D1EC7" wp14:editId="3AA2973A">
          <wp:simplePos x="0" y="0"/>
          <wp:positionH relativeFrom="page">
            <wp:posOffset>0</wp:posOffset>
          </wp:positionH>
          <wp:positionV relativeFrom="page">
            <wp:posOffset>12700</wp:posOffset>
          </wp:positionV>
          <wp:extent cx="7557184" cy="10676424"/>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4.jpg"/>
                  <pic:cNvPicPr/>
                </pic:nvPicPr>
                <pic:blipFill>
                  <a:blip r:embed="rId1">
                    <a:extLst>
                      <a:ext uri="{28A0092B-C50C-407E-A947-70E740481C1C}">
                        <a14:useLocalDpi xmlns:a14="http://schemas.microsoft.com/office/drawing/2010/main" val="0"/>
                      </a:ext>
                    </a:extLst>
                  </a:blip>
                  <a:stretch>
                    <a:fillRect/>
                  </a:stretch>
                </pic:blipFill>
                <pic:spPr>
                  <a:xfrm>
                    <a:off x="0" y="0"/>
                    <a:ext cx="7557184" cy="10676424"/>
                  </a:xfrm>
                  <a:prstGeom prst="rect">
                    <a:avLst/>
                  </a:prstGeom>
                </pic:spPr>
              </pic:pic>
            </a:graphicData>
          </a:graphic>
          <wp14:sizeRelH relativeFrom="margin">
            <wp14:pctWidth>0</wp14:pctWidth>
          </wp14:sizeRelH>
          <wp14:sizeRelV relativeFrom="margin">
            <wp14:pctHeight>0</wp14:pctHeight>
          </wp14:sizeRelV>
        </wp:anchor>
      </w:drawing>
    </w:r>
    <w:r w:rsidR="002C21F8">
      <w:rPr>
        <w:noProof/>
      </w:rPr>
      <w:softHyphen/>
    </w:r>
    <w:r w:rsidR="002C21F8">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F4AC" w14:textId="77777777" w:rsidR="00307469" w:rsidRPr="002C3073" w:rsidRDefault="006D5835" w:rsidP="002C21F8">
    <w:pPr>
      <w:tabs>
        <w:tab w:val="right" w:pos="5670"/>
      </w:tabs>
      <w:spacing w:before="60" w:line="240" w:lineRule="auto"/>
      <w:rPr>
        <w:szCs w:val="20"/>
        <w:lang w:val="en-US"/>
      </w:rPr>
    </w:pPr>
    <w:r w:rsidRPr="00085792">
      <w:rPr>
        <w:noProof/>
        <w:lang w:eastAsia="en-AU"/>
      </w:rPr>
      <w:drawing>
        <wp:anchor distT="0" distB="0" distL="114300" distR="114300" simplePos="0" relativeHeight="251665408" behindDoc="1" locked="0" layoutInCell="1" allowOverlap="1" wp14:anchorId="0A906B3C" wp14:editId="616E8422">
          <wp:simplePos x="0" y="0"/>
          <wp:positionH relativeFrom="page">
            <wp:posOffset>0</wp:posOffset>
          </wp:positionH>
          <wp:positionV relativeFrom="page">
            <wp:posOffset>6669</wp:posOffset>
          </wp:positionV>
          <wp:extent cx="7559675" cy="10679943"/>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U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9943"/>
                  </a:xfrm>
                  <a:prstGeom prst="rect">
                    <a:avLst/>
                  </a:prstGeom>
                </pic:spPr>
              </pic:pic>
            </a:graphicData>
          </a:graphic>
          <wp14:sizeRelH relativeFrom="margin">
            <wp14:pctWidth>0</wp14:pctWidth>
          </wp14:sizeRelH>
          <wp14:sizeRelV relativeFrom="margin">
            <wp14:pctHeight>0</wp14:pctHeight>
          </wp14:sizeRelV>
        </wp:anchor>
      </w:drawing>
    </w:r>
    <w:r w:rsidR="002C21F8">
      <w:rPr>
        <w:szCs w:val="20"/>
        <w:lang w:val="en-US"/>
      </w:rPr>
      <w:softHyphen/>
    </w:r>
    <w:r w:rsidR="002C21F8">
      <w:rPr>
        <w:szCs w:val="20"/>
        <w:lang w:val="en-US"/>
      </w:rPr>
      <w:softHyphen/>
    </w:r>
    <w:r w:rsidR="002C21F8">
      <w:rPr>
        <w:szCs w:val="20"/>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F33"/>
    <w:multiLevelType w:val="multilevel"/>
    <w:tmpl w:val="FA32F0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3B765D"/>
    <w:multiLevelType w:val="multilevel"/>
    <w:tmpl w:val="E06C4AD6"/>
    <w:lvl w:ilvl="0">
      <w:start w:val="1"/>
      <w:numFmt w:val="decimal"/>
      <w:lvlText w:val="Part %1."/>
      <w:lvlJc w:val="left"/>
      <w:pPr>
        <w:ind w:left="851"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12C6FCD"/>
    <w:multiLevelType w:val="multilevel"/>
    <w:tmpl w:val="0186B73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16B606E"/>
    <w:multiLevelType w:val="multilevel"/>
    <w:tmpl w:val="B3DEEB32"/>
    <w:lvl w:ilvl="0">
      <w:numFmt w:val="decimal"/>
      <w:lvlText w:val="Part %1."/>
      <w:lvlJc w:val="left"/>
      <w:pPr>
        <w:ind w:left="0"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2E970BC"/>
    <w:multiLevelType w:val="hybridMultilevel"/>
    <w:tmpl w:val="7D386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0D1D99"/>
    <w:multiLevelType w:val="hybridMultilevel"/>
    <w:tmpl w:val="6E94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00223"/>
    <w:multiLevelType w:val="multilevel"/>
    <w:tmpl w:val="8A4E6978"/>
    <w:lvl w:ilvl="0">
      <w:start w:val="1"/>
      <w:numFmt w:val="decimal"/>
      <w:lvlText w:val="Part %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DC230CA"/>
    <w:multiLevelType w:val="multilevel"/>
    <w:tmpl w:val="C12E8ED8"/>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DCA4B68"/>
    <w:multiLevelType w:val="multilevel"/>
    <w:tmpl w:val="FFA2B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5F2947"/>
    <w:multiLevelType w:val="hybridMultilevel"/>
    <w:tmpl w:val="9AA8A5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5636E"/>
    <w:multiLevelType w:val="multilevel"/>
    <w:tmpl w:val="27F4182C"/>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D692099"/>
    <w:multiLevelType w:val="multilevel"/>
    <w:tmpl w:val="735E770E"/>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07E6998"/>
    <w:multiLevelType w:val="multilevel"/>
    <w:tmpl w:val="5D5284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0F47FFA"/>
    <w:multiLevelType w:val="multilevel"/>
    <w:tmpl w:val="9A3EE1F4"/>
    <w:lvl w:ilvl="0">
      <w:start w:val="1"/>
      <w:numFmt w:val="decimal"/>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6296013"/>
    <w:multiLevelType w:val="multilevel"/>
    <w:tmpl w:val="B3DEEB32"/>
    <w:lvl w:ilvl="0">
      <w:numFmt w:val="decimal"/>
      <w:lvlText w:val="Part %1."/>
      <w:lvlJc w:val="left"/>
      <w:pPr>
        <w:ind w:left="851" w:firstLine="0"/>
      </w:pPr>
      <w:rPr>
        <w:rFonts w:hint="default"/>
      </w:rPr>
    </w:lvl>
    <w:lvl w:ilvl="1">
      <w:start w:val="1"/>
      <w:numFmt w:val="decimalZero"/>
      <w:isLgl/>
      <w:lvlText w:val="%1.1"/>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46E7551A"/>
    <w:multiLevelType w:val="multilevel"/>
    <w:tmpl w:val="9E00F07A"/>
    <w:lvl w:ilvl="0">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50574ECE"/>
    <w:multiLevelType w:val="multilevel"/>
    <w:tmpl w:val="CBDAFE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0E54498"/>
    <w:multiLevelType w:val="multilevel"/>
    <w:tmpl w:val="3DEE2728"/>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36536C3"/>
    <w:multiLevelType w:val="multilevel"/>
    <w:tmpl w:val="2030511E"/>
    <w:lvl w:ilvl="0">
      <w:start w:val="1"/>
      <w:numFmt w:val="decimal"/>
      <w:pStyle w:val="Numberedsectionheading"/>
      <w:lvlText w:val="Part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732106A"/>
    <w:multiLevelType w:val="multilevel"/>
    <w:tmpl w:val="D8CEDE68"/>
    <w:lvl w:ilvl="0">
      <w:start w:val="1"/>
      <w:numFmt w:val="decimal"/>
      <w:lvlText w:val="Part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78F473F9"/>
    <w:multiLevelType w:val="multilevel"/>
    <w:tmpl w:val="9426209C"/>
    <w:lvl w:ilvl="0">
      <w:numFmt w:val="decimal"/>
      <w:lvlText w:val="Part %1."/>
      <w:lvlJc w:val="left"/>
      <w:pPr>
        <w:ind w:left="0" w:firstLine="0"/>
      </w:pPr>
      <w:rPr>
        <w:rFonts w:hint="default"/>
      </w:rPr>
    </w:lvl>
    <w:lvl w:ilvl="1">
      <w:start w:val="1"/>
      <w:numFmt w:val="decimalZero"/>
      <w:isLg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7CD55381"/>
    <w:multiLevelType w:val="hybridMultilevel"/>
    <w:tmpl w:val="9BEAE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9"/>
  </w:num>
  <w:num w:numId="4">
    <w:abstractNumId w:val="1"/>
  </w:num>
  <w:num w:numId="5">
    <w:abstractNumId w:val="10"/>
  </w:num>
  <w:num w:numId="6">
    <w:abstractNumId w:val="15"/>
  </w:num>
  <w:num w:numId="7">
    <w:abstractNumId w:val="2"/>
  </w:num>
  <w:num w:numId="8">
    <w:abstractNumId w:val="20"/>
  </w:num>
  <w:num w:numId="9">
    <w:abstractNumId w:val="3"/>
  </w:num>
  <w:num w:numId="10">
    <w:abstractNumId w:val="6"/>
  </w:num>
  <w:num w:numId="11">
    <w:abstractNumId w:val="12"/>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14"/>
  </w:num>
  <w:num w:numId="19">
    <w:abstractNumId w:val="0"/>
  </w:num>
  <w:num w:numId="20">
    <w:abstractNumId w:val="13"/>
  </w:num>
  <w:num w:numId="21">
    <w:abstractNumId w:val="4"/>
  </w:num>
  <w:num w:numId="22">
    <w:abstractNumId w:val="21"/>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81"/>
  <w:drawingGridVerticalSpacing w:val="181"/>
  <w:displayHorizontalDrawingGridEvery w:val="11"/>
  <w:displayVerticalDrawingGridEvery w:val="1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13"/>
    <w:rsid w:val="0001036C"/>
    <w:rsid w:val="00011495"/>
    <w:rsid w:val="0001303D"/>
    <w:rsid w:val="00017C77"/>
    <w:rsid w:val="000510F3"/>
    <w:rsid w:val="0006646D"/>
    <w:rsid w:val="00085792"/>
    <w:rsid w:val="00091443"/>
    <w:rsid w:val="000B5187"/>
    <w:rsid w:val="000D14AB"/>
    <w:rsid w:val="000D14B3"/>
    <w:rsid w:val="000D74BB"/>
    <w:rsid w:val="00147743"/>
    <w:rsid w:val="001525FB"/>
    <w:rsid w:val="00175402"/>
    <w:rsid w:val="00183F67"/>
    <w:rsid w:val="001910A0"/>
    <w:rsid w:val="001C4FE9"/>
    <w:rsid w:val="001D7D2F"/>
    <w:rsid w:val="001F3F7D"/>
    <w:rsid w:val="001F6A22"/>
    <w:rsid w:val="002000AD"/>
    <w:rsid w:val="00245D3F"/>
    <w:rsid w:val="002553A1"/>
    <w:rsid w:val="00256236"/>
    <w:rsid w:val="00270244"/>
    <w:rsid w:val="0027791E"/>
    <w:rsid w:val="002954A0"/>
    <w:rsid w:val="002B1A3B"/>
    <w:rsid w:val="002B1CEA"/>
    <w:rsid w:val="002B4176"/>
    <w:rsid w:val="002C08A1"/>
    <w:rsid w:val="002C21F8"/>
    <w:rsid w:val="002C3073"/>
    <w:rsid w:val="002D5588"/>
    <w:rsid w:val="002E0336"/>
    <w:rsid w:val="002E25C8"/>
    <w:rsid w:val="002E3E68"/>
    <w:rsid w:val="002E5053"/>
    <w:rsid w:val="002E6BFC"/>
    <w:rsid w:val="002F14BC"/>
    <w:rsid w:val="00307469"/>
    <w:rsid w:val="00316531"/>
    <w:rsid w:val="00332E79"/>
    <w:rsid w:val="0034495B"/>
    <w:rsid w:val="003572CC"/>
    <w:rsid w:val="00364936"/>
    <w:rsid w:val="003A707E"/>
    <w:rsid w:val="003B695F"/>
    <w:rsid w:val="003C2175"/>
    <w:rsid w:val="003C7E4A"/>
    <w:rsid w:val="003F797E"/>
    <w:rsid w:val="003F7B45"/>
    <w:rsid w:val="00413CD7"/>
    <w:rsid w:val="0041543B"/>
    <w:rsid w:val="00424909"/>
    <w:rsid w:val="00440B9D"/>
    <w:rsid w:val="004769C5"/>
    <w:rsid w:val="00476E4C"/>
    <w:rsid w:val="00492BA9"/>
    <w:rsid w:val="004A5996"/>
    <w:rsid w:val="004A68AB"/>
    <w:rsid w:val="004C1F9F"/>
    <w:rsid w:val="004C7885"/>
    <w:rsid w:val="004D126C"/>
    <w:rsid w:val="004D1655"/>
    <w:rsid w:val="005135DB"/>
    <w:rsid w:val="0052259E"/>
    <w:rsid w:val="00531F4B"/>
    <w:rsid w:val="0053603D"/>
    <w:rsid w:val="00554296"/>
    <w:rsid w:val="0056042B"/>
    <w:rsid w:val="00565726"/>
    <w:rsid w:val="005831AA"/>
    <w:rsid w:val="0058680D"/>
    <w:rsid w:val="00590220"/>
    <w:rsid w:val="005B361A"/>
    <w:rsid w:val="005C05E3"/>
    <w:rsid w:val="005C1F1A"/>
    <w:rsid w:val="005C4590"/>
    <w:rsid w:val="005F76FD"/>
    <w:rsid w:val="006258E6"/>
    <w:rsid w:val="006556E9"/>
    <w:rsid w:val="0068090F"/>
    <w:rsid w:val="006951D8"/>
    <w:rsid w:val="006B25A8"/>
    <w:rsid w:val="006B4F22"/>
    <w:rsid w:val="006C2A3A"/>
    <w:rsid w:val="006D5835"/>
    <w:rsid w:val="00700E73"/>
    <w:rsid w:val="00717B7F"/>
    <w:rsid w:val="00720F21"/>
    <w:rsid w:val="00721968"/>
    <w:rsid w:val="00731518"/>
    <w:rsid w:val="00740552"/>
    <w:rsid w:val="00755BA5"/>
    <w:rsid w:val="00760A52"/>
    <w:rsid w:val="007772EA"/>
    <w:rsid w:val="00794D3D"/>
    <w:rsid w:val="007C3211"/>
    <w:rsid w:val="007E4731"/>
    <w:rsid w:val="00804B37"/>
    <w:rsid w:val="00810F47"/>
    <w:rsid w:val="00824E72"/>
    <w:rsid w:val="00862800"/>
    <w:rsid w:val="00871D59"/>
    <w:rsid w:val="008A2813"/>
    <w:rsid w:val="008A3B4B"/>
    <w:rsid w:val="008D0B30"/>
    <w:rsid w:val="00915B8B"/>
    <w:rsid w:val="00961CDE"/>
    <w:rsid w:val="00992962"/>
    <w:rsid w:val="009D1C3C"/>
    <w:rsid w:val="009E1207"/>
    <w:rsid w:val="009F4E83"/>
    <w:rsid w:val="00A04A35"/>
    <w:rsid w:val="00A16B65"/>
    <w:rsid w:val="00A34505"/>
    <w:rsid w:val="00A4590B"/>
    <w:rsid w:val="00A55CAF"/>
    <w:rsid w:val="00A84387"/>
    <w:rsid w:val="00AA27DC"/>
    <w:rsid w:val="00AB45F8"/>
    <w:rsid w:val="00AC2ECF"/>
    <w:rsid w:val="00AC5157"/>
    <w:rsid w:val="00AD5981"/>
    <w:rsid w:val="00AE5C62"/>
    <w:rsid w:val="00B3375C"/>
    <w:rsid w:val="00B35402"/>
    <w:rsid w:val="00B4020D"/>
    <w:rsid w:val="00B51469"/>
    <w:rsid w:val="00B64C5B"/>
    <w:rsid w:val="00B76E47"/>
    <w:rsid w:val="00B81476"/>
    <w:rsid w:val="00B826AB"/>
    <w:rsid w:val="00B83585"/>
    <w:rsid w:val="00B87AF9"/>
    <w:rsid w:val="00BB090D"/>
    <w:rsid w:val="00BC6C9C"/>
    <w:rsid w:val="00BD31E0"/>
    <w:rsid w:val="00BE120E"/>
    <w:rsid w:val="00BE6A4C"/>
    <w:rsid w:val="00C26273"/>
    <w:rsid w:val="00C55BE2"/>
    <w:rsid w:val="00C94167"/>
    <w:rsid w:val="00CA14EB"/>
    <w:rsid w:val="00CB040A"/>
    <w:rsid w:val="00CE10B4"/>
    <w:rsid w:val="00CE790D"/>
    <w:rsid w:val="00CF37F6"/>
    <w:rsid w:val="00D065F4"/>
    <w:rsid w:val="00D11A1A"/>
    <w:rsid w:val="00D12777"/>
    <w:rsid w:val="00D178A6"/>
    <w:rsid w:val="00D22830"/>
    <w:rsid w:val="00D306BE"/>
    <w:rsid w:val="00D3209A"/>
    <w:rsid w:val="00D4365F"/>
    <w:rsid w:val="00D4526C"/>
    <w:rsid w:val="00D65D32"/>
    <w:rsid w:val="00D65EC8"/>
    <w:rsid w:val="00D74282"/>
    <w:rsid w:val="00D7659B"/>
    <w:rsid w:val="00D91BFF"/>
    <w:rsid w:val="00D97101"/>
    <w:rsid w:val="00DB0B07"/>
    <w:rsid w:val="00DE2C7B"/>
    <w:rsid w:val="00E07FD0"/>
    <w:rsid w:val="00E569AD"/>
    <w:rsid w:val="00E65343"/>
    <w:rsid w:val="00E81E4F"/>
    <w:rsid w:val="00EE3C1B"/>
    <w:rsid w:val="00EE6BC5"/>
    <w:rsid w:val="00F001F2"/>
    <w:rsid w:val="00F063BF"/>
    <w:rsid w:val="00F11EA2"/>
    <w:rsid w:val="00F23906"/>
    <w:rsid w:val="00F33442"/>
    <w:rsid w:val="00F650AC"/>
    <w:rsid w:val="00F65C26"/>
    <w:rsid w:val="00F71EB3"/>
    <w:rsid w:val="00FB28AD"/>
    <w:rsid w:val="00FB2D9E"/>
    <w:rsid w:val="00FB37A3"/>
    <w:rsid w:val="00FE12D9"/>
    <w:rsid w:val="00FE3E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78D85"/>
  <w15:chartTrackingRefBased/>
  <w15:docId w15:val="{18CA6265-EEF3-3C45-A126-F7CEB56C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73"/>
    <w:pPr>
      <w:spacing w:before="120" w:line="264" w:lineRule="auto"/>
    </w:pPr>
    <w:rPr>
      <w:sz w:val="20"/>
    </w:rPr>
  </w:style>
  <w:style w:type="paragraph" w:styleId="Heading1">
    <w:name w:val="heading 1"/>
    <w:basedOn w:val="Normal"/>
    <w:next w:val="Normal"/>
    <w:link w:val="Heading1Char"/>
    <w:uiPriority w:val="9"/>
    <w:qFormat/>
    <w:rsid w:val="008A3B4B"/>
    <w:pPr>
      <w:keepNext/>
      <w:keepLines/>
      <w:spacing w:before="360" w:after="120"/>
      <w:outlineLvl w:val="0"/>
    </w:pPr>
    <w:rPr>
      <w:rFonts w:asciiTheme="majorHAnsi" w:eastAsiaTheme="majorEastAsia" w:hAnsiTheme="majorHAnsi" w:cs="Times New Roman (Headings CS)"/>
      <w:color w:val="000000" w:themeColor="text1"/>
      <w:sz w:val="36"/>
      <w:szCs w:val="32"/>
    </w:rPr>
  </w:style>
  <w:style w:type="paragraph" w:styleId="Heading2">
    <w:name w:val="heading 2"/>
    <w:basedOn w:val="Normal"/>
    <w:next w:val="Normal"/>
    <w:link w:val="Heading2Char"/>
    <w:uiPriority w:val="9"/>
    <w:unhideWhenUsed/>
    <w:qFormat/>
    <w:rsid w:val="007C3211"/>
    <w:pPr>
      <w:keepNext/>
      <w:keepLines/>
      <w:spacing w:before="240"/>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unhideWhenUsed/>
    <w:qFormat/>
    <w:rsid w:val="007C3211"/>
    <w:pPr>
      <w:keepNext/>
      <w:keepLines/>
      <w:spacing w:before="240"/>
      <w:outlineLvl w:val="2"/>
    </w:pPr>
    <w:rPr>
      <w:rFonts w:asciiTheme="majorHAnsi" w:eastAsiaTheme="majorEastAsia" w:hAnsiTheme="majorHAnsi" w:cstheme="majorBidi"/>
      <w:color w:val="000000" w:themeColor="text1"/>
      <w:sz w:val="22"/>
    </w:rPr>
  </w:style>
  <w:style w:type="paragraph" w:styleId="Heading4">
    <w:name w:val="heading 4"/>
    <w:basedOn w:val="Normal"/>
    <w:next w:val="Normal"/>
    <w:link w:val="Heading4Char"/>
    <w:uiPriority w:val="9"/>
    <w:unhideWhenUsed/>
    <w:qFormat/>
    <w:rsid w:val="007C3211"/>
    <w:pPr>
      <w:keepNext/>
      <w:keepLines/>
      <w:spacing w:before="40"/>
      <w:outlineLvl w:val="3"/>
    </w:pPr>
    <w:rPr>
      <w:rFonts w:asciiTheme="majorHAnsi" w:eastAsiaTheme="majorEastAsia" w:hAnsiTheme="majorHAnsi" w:cstheme="majorBidi"/>
      <w:i/>
      <w:iCs/>
      <w:color w:val="BE830E" w:themeColor="accent1"/>
    </w:rPr>
  </w:style>
  <w:style w:type="paragraph" w:styleId="Heading5">
    <w:name w:val="heading 5"/>
    <w:basedOn w:val="Normal"/>
    <w:next w:val="Normal"/>
    <w:link w:val="Heading5Char"/>
    <w:uiPriority w:val="9"/>
    <w:unhideWhenUsed/>
    <w:qFormat/>
    <w:rsid w:val="007C3211"/>
    <w:pPr>
      <w:keepNext/>
      <w:keepLines/>
      <w:spacing w:before="40"/>
      <w:outlineLvl w:val="4"/>
    </w:pPr>
    <w:rPr>
      <w:rFonts w:asciiTheme="majorHAnsi" w:eastAsiaTheme="majorEastAsia" w:hAnsiTheme="majorHAnsi" w:cstheme="majorBidi"/>
      <w:color w:val="BE830E" w:themeColor="accent1"/>
    </w:rPr>
  </w:style>
  <w:style w:type="paragraph" w:styleId="Heading6">
    <w:name w:val="heading 6"/>
    <w:basedOn w:val="Normal"/>
    <w:next w:val="Normal"/>
    <w:link w:val="Heading6Char"/>
    <w:uiPriority w:val="9"/>
    <w:unhideWhenUsed/>
    <w:qFormat/>
    <w:rsid w:val="007C3211"/>
    <w:pPr>
      <w:keepNext/>
      <w:keepLines/>
      <w:spacing w:before="40"/>
      <w:outlineLvl w:val="5"/>
    </w:pPr>
    <w:rPr>
      <w:rFonts w:asciiTheme="majorHAnsi" w:eastAsiaTheme="majorEastAsia" w:hAnsiTheme="majorHAnsi" w:cstheme="majorBidi"/>
      <w:color w:val="BE830E" w:themeColor="accent1"/>
    </w:rPr>
  </w:style>
  <w:style w:type="paragraph" w:styleId="Heading7">
    <w:name w:val="heading 7"/>
    <w:basedOn w:val="Normal"/>
    <w:next w:val="Normal"/>
    <w:link w:val="Heading7Char"/>
    <w:uiPriority w:val="9"/>
    <w:semiHidden/>
    <w:unhideWhenUsed/>
    <w:qFormat/>
    <w:rsid w:val="007C3211"/>
    <w:pPr>
      <w:keepNext/>
      <w:keepLines/>
      <w:spacing w:before="40"/>
      <w:outlineLvl w:val="6"/>
    </w:pPr>
    <w:rPr>
      <w:rFonts w:asciiTheme="majorHAnsi" w:eastAsiaTheme="majorEastAsia" w:hAnsiTheme="majorHAnsi" w:cstheme="majorBidi"/>
      <w:i/>
      <w:iCs/>
      <w:color w:val="BE830E" w:themeColor="accent1"/>
    </w:rPr>
  </w:style>
  <w:style w:type="paragraph" w:styleId="Heading8">
    <w:name w:val="heading 8"/>
    <w:basedOn w:val="Normal"/>
    <w:next w:val="Normal"/>
    <w:link w:val="Heading8Char"/>
    <w:uiPriority w:val="9"/>
    <w:semiHidden/>
    <w:unhideWhenUsed/>
    <w:qFormat/>
    <w:rsid w:val="007C32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2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5F"/>
    <w:pPr>
      <w:tabs>
        <w:tab w:val="center" w:pos="4680"/>
        <w:tab w:val="right" w:pos="9360"/>
      </w:tabs>
    </w:pPr>
  </w:style>
  <w:style w:type="character" w:customStyle="1" w:styleId="HeaderChar">
    <w:name w:val="Header Char"/>
    <w:basedOn w:val="DefaultParagraphFont"/>
    <w:link w:val="Header"/>
    <w:uiPriority w:val="99"/>
    <w:rsid w:val="003B695F"/>
  </w:style>
  <w:style w:type="paragraph" w:styleId="Footer">
    <w:name w:val="footer"/>
    <w:basedOn w:val="Normal"/>
    <w:link w:val="FooterChar"/>
    <w:uiPriority w:val="99"/>
    <w:unhideWhenUsed/>
    <w:qFormat/>
    <w:rsid w:val="00871D59"/>
    <w:pPr>
      <w:tabs>
        <w:tab w:val="left" w:pos="3969"/>
      </w:tabs>
      <w:spacing w:before="60" w:line="240" w:lineRule="auto"/>
    </w:pPr>
    <w:rPr>
      <w:sz w:val="18"/>
      <w:szCs w:val="18"/>
      <w:lang w:val="en-US"/>
    </w:rPr>
  </w:style>
  <w:style w:type="character" w:customStyle="1" w:styleId="FooterChar">
    <w:name w:val="Footer Char"/>
    <w:basedOn w:val="DefaultParagraphFont"/>
    <w:link w:val="Footer"/>
    <w:uiPriority w:val="99"/>
    <w:rsid w:val="00871D59"/>
    <w:rPr>
      <w:sz w:val="18"/>
      <w:szCs w:val="18"/>
      <w:lang w:val="en-US"/>
    </w:rPr>
  </w:style>
  <w:style w:type="character" w:styleId="Hyperlink">
    <w:name w:val="Hyperlink"/>
    <w:basedOn w:val="DefaultParagraphFont"/>
    <w:uiPriority w:val="99"/>
    <w:unhideWhenUsed/>
    <w:rsid w:val="00CE10B4"/>
    <w:rPr>
      <w:color w:val="0070C0"/>
      <w:u w:val="single"/>
    </w:rPr>
  </w:style>
  <w:style w:type="character" w:customStyle="1" w:styleId="UnresolvedMention1">
    <w:name w:val="Unresolved Mention1"/>
    <w:basedOn w:val="DefaultParagraphFont"/>
    <w:uiPriority w:val="99"/>
    <w:semiHidden/>
    <w:unhideWhenUsed/>
    <w:rsid w:val="002000AD"/>
    <w:rPr>
      <w:color w:val="605E5C"/>
      <w:shd w:val="clear" w:color="auto" w:fill="E1DFDD"/>
    </w:rPr>
  </w:style>
  <w:style w:type="character" w:styleId="FollowedHyperlink">
    <w:name w:val="FollowedHyperlink"/>
    <w:basedOn w:val="DefaultParagraphFont"/>
    <w:uiPriority w:val="99"/>
    <w:semiHidden/>
    <w:unhideWhenUsed/>
    <w:rsid w:val="002000AD"/>
    <w:rPr>
      <w:color w:val="BE4E0E" w:themeColor="followedHyperlink"/>
      <w:u w:val="single"/>
    </w:rPr>
  </w:style>
  <w:style w:type="paragraph" w:styleId="NoSpacing">
    <w:name w:val="No Spacing"/>
    <w:uiPriority w:val="1"/>
    <w:qFormat/>
    <w:rsid w:val="00EE3C1B"/>
  </w:style>
  <w:style w:type="character" w:customStyle="1" w:styleId="Heading1Char">
    <w:name w:val="Heading 1 Char"/>
    <w:basedOn w:val="DefaultParagraphFont"/>
    <w:link w:val="Heading1"/>
    <w:uiPriority w:val="9"/>
    <w:rsid w:val="008A3B4B"/>
    <w:rPr>
      <w:rFonts w:asciiTheme="majorHAnsi" w:eastAsiaTheme="majorEastAsia" w:hAnsiTheme="majorHAnsi" w:cs="Times New Roman (Headings CS)"/>
      <w:color w:val="000000" w:themeColor="text1"/>
      <w:sz w:val="36"/>
      <w:szCs w:val="32"/>
    </w:rPr>
  </w:style>
  <w:style w:type="character" w:customStyle="1" w:styleId="Heading2Char">
    <w:name w:val="Heading 2 Char"/>
    <w:basedOn w:val="DefaultParagraphFont"/>
    <w:link w:val="Heading2"/>
    <w:uiPriority w:val="9"/>
    <w:rsid w:val="002553A1"/>
    <w:rPr>
      <w:rFonts w:asciiTheme="majorHAnsi" w:eastAsiaTheme="majorEastAsia" w:hAnsiTheme="majorHAnsi" w:cstheme="majorBidi"/>
      <w:color w:val="000000" w:themeColor="text1"/>
      <w:sz w:val="28"/>
      <w:szCs w:val="26"/>
    </w:rPr>
  </w:style>
  <w:style w:type="character" w:customStyle="1" w:styleId="Heading3Char">
    <w:name w:val="Heading 3 Char"/>
    <w:basedOn w:val="DefaultParagraphFont"/>
    <w:link w:val="Heading3"/>
    <w:uiPriority w:val="9"/>
    <w:rsid w:val="004769C5"/>
    <w:rPr>
      <w:rFonts w:asciiTheme="majorHAnsi" w:eastAsiaTheme="majorEastAsia" w:hAnsiTheme="majorHAnsi" w:cstheme="majorBidi"/>
      <w:color w:val="000000" w:themeColor="text1"/>
      <w:sz w:val="22"/>
    </w:rPr>
  </w:style>
  <w:style w:type="character" w:customStyle="1" w:styleId="Heading4Char">
    <w:name w:val="Heading 4 Char"/>
    <w:basedOn w:val="DefaultParagraphFont"/>
    <w:link w:val="Heading4"/>
    <w:uiPriority w:val="9"/>
    <w:rsid w:val="00EE3C1B"/>
    <w:rPr>
      <w:rFonts w:asciiTheme="majorHAnsi" w:eastAsiaTheme="majorEastAsia" w:hAnsiTheme="majorHAnsi" w:cstheme="majorBidi"/>
      <w:i/>
      <w:iCs/>
      <w:color w:val="BE830E" w:themeColor="accent1"/>
    </w:rPr>
  </w:style>
  <w:style w:type="character" w:customStyle="1" w:styleId="Heading5Char">
    <w:name w:val="Heading 5 Char"/>
    <w:basedOn w:val="DefaultParagraphFont"/>
    <w:link w:val="Heading5"/>
    <w:uiPriority w:val="9"/>
    <w:rsid w:val="00EE3C1B"/>
    <w:rPr>
      <w:rFonts w:asciiTheme="majorHAnsi" w:eastAsiaTheme="majorEastAsia" w:hAnsiTheme="majorHAnsi" w:cstheme="majorBidi"/>
      <w:color w:val="BE830E" w:themeColor="accent1"/>
    </w:rPr>
  </w:style>
  <w:style w:type="character" w:customStyle="1" w:styleId="Heading6Char">
    <w:name w:val="Heading 6 Char"/>
    <w:basedOn w:val="DefaultParagraphFont"/>
    <w:link w:val="Heading6"/>
    <w:uiPriority w:val="9"/>
    <w:rsid w:val="00EE3C1B"/>
    <w:rPr>
      <w:rFonts w:asciiTheme="majorHAnsi" w:eastAsiaTheme="majorEastAsia" w:hAnsiTheme="majorHAnsi" w:cstheme="majorBidi"/>
      <w:color w:val="BE830E" w:themeColor="accent1"/>
    </w:rPr>
  </w:style>
  <w:style w:type="character" w:customStyle="1" w:styleId="Heading7Char">
    <w:name w:val="Heading 7 Char"/>
    <w:basedOn w:val="DefaultParagraphFont"/>
    <w:link w:val="Heading7"/>
    <w:uiPriority w:val="9"/>
    <w:semiHidden/>
    <w:rsid w:val="00EE3C1B"/>
    <w:rPr>
      <w:rFonts w:asciiTheme="majorHAnsi" w:eastAsiaTheme="majorEastAsia" w:hAnsiTheme="majorHAnsi" w:cstheme="majorBidi"/>
      <w:i/>
      <w:iCs/>
      <w:color w:val="BE830E" w:themeColor="accent1"/>
    </w:rPr>
  </w:style>
  <w:style w:type="paragraph" w:styleId="Title">
    <w:name w:val="Title"/>
    <w:basedOn w:val="Normal"/>
    <w:next w:val="Normal"/>
    <w:link w:val="TitleChar"/>
    <w:uiPriority w:val="10"/>
    <w:qFormat/>
    <w:rsid w:val="002B4176"/>
    <w:pPr>
      <w:spacing w:before="0" w:after="120" w:line="312"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B4176"/>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871D59"/>
    <w:pPr>
      <w:numPr>
        <w:ilvl w:val="1"/>
      </w:numPr>
      <w:spacing w:before="0" w:after="120"/>
    </w:pPr>
    <w:rPr>
      <w:rFonts w:eastAsiaTheme="minorEastAsia"/>
      <w:spacing w:val="15"/>
      <w:sz w:val="40"/>
      <w:szCs w:val="22"/>
    </w:rPr>
  </w:style>
  <w:style w:type="character" w:customStyle="1" w:styleId="SubtitleChar">
    <w:name w:val="Subtitle Char"/>
    <w:basedOn w:val="DefaultParagraphFont"/>
    <w:link w:val="Subtitle"/>
    <w:uiPriority w:val="11"/>
    <w:rsid w:val="00871D59"/>
    <w:rPr>
      <w:rFonts w:eastAsiaTheme="minorEastAsia"/>
      <w:spacing w:val="15"/>
      <w:sz w:val="40"/>
      <w:szCs w:val="22"/>
    </w:rPr>
  </w:style>
  <w:style w:type="character" w:styleId="SubtleEmphasis">
    <w:name w:val="Subtle Emphasis"/>
    <w:basedOn w:val="DefaultParagraphFont"/>
    <w:uiPriority w:val="19"/>
    <w:qFormat/>
    <w:rsid w:val="00871D59"/>
    <w:rPr>
      <w:i/>
      <w:iCs/>
      <w:color w:val="auto"/>
    </w:rPr>
  </w:style>
  <w:style w:type="character" w:styleId="Emphasis">
    <w:name w:val="Emphasis"/>
    <w:basedOn w:val="DefaultParagraphFont"/>
    <w:uiPriority w:val="20"/>
    <w:qFormat/>
    <w:rsid w:val="00871D59"/>
    <w:rPr>
      <w:i/>
      <w:iCs/>
    </w:rPr>
  </w:style>
  <w:style w:type="character" w:styleId="IntenseEmphasis">
    <w:name w:val="Intense Emphasis"/>
    <w:basedOn w:val="DefaultParagraphFont"/>
    <w:uiPriority w:val="21"/>
    <w:qFormat/>
    <w:rsid w:val="00871D59"/>
    <w:rPr>
      <w:i/>
      <w:iCs/>
      <w:color w:val="BE830E" w:themeColor="accent1"/>
    </w:rPr>
  </w:style>
  <w:style w:type="character" w:styleId="Strong">
    <w:name w:val="Strong"/>
    <w:basedOn w:val="DefaultParagraphFont"/>
    <w:uiPriority w:val="22"/>
    <w:qFormat/>
    <w:rsid w:val="00871D59"/>
    <w:rPr>
      <w:b/>
      <w:bCs/>
    </w:rPr>
  </w:style>
  <w:style w:type="paragraph" w:styleId="Quote">
    <w:name w:val="Quote"/>
    <w:basedOn w:val="Normal"/>
    <w:next w:val="Normal"/>
    <w:link w:val="QuoteChar"/>
    <w:uiPriority w:val="29"/>
    <w:qFormat/>
    <w:rsid w:val="00871D59"/>
    <w:pPr>
      <w:spacing w:before="200" w:after="160"/>
      <w:ind w:left="864" w:right="864"/>
      <w:jc w:val="center"/>
    </w:pPr>
    <w:rPr>
      <w:i/>
      <w:iCs/>
    </w:rPr>
  </w:style>
  <w:style w:type="character" w:customStyle="1" w:styleId="QuoteChar">
    <w:name w:val="Quote Char"/>
    <w:basedOn w:val="DefaultParagraphFont"/>
    <w:link w:val="Quote"/>
    <w:uiPriority w:val="29"/>
    <w:rsid w:val="00871D59"/>
    <w:rPr>
      <w:i/>
      <w:iCs/>
    </w:rPr>
  </w:style>
  <w:style w:type="paragraph" w:styleId="IntenseQuote">
    <w:name w:val="Intense Quote"/>
    <w:basedOn w:val="Normal"/>
    <w:next w:val="Normal"/>
    <w:link w:val="IntenseQuoteChar"/>
    <w:uiPriority w:val="30"/>
    <w:qFormat/>
    <w:rsid w:val="00871D59"/>
    <w:pPr>
      <w:pBdr>
        <w:top w:val="single" w:sz="4" w:space="10" w:color="BE830E" w:themeColor="accent1"/>
        <w:bottom w:val="single" w:sz="4" w:space="10" w:color="BE830E" w:themeColor="accent1"/>
      </w:pBdr>
      <w:spacing w:before="360" w:after="360"/>
      <w:ind w:left="864" w:right="864"/>
      <w:jc w:val="center"/>
    </w:pPr>
    <w:rPr>
      <w:i/>
      <w:iCs/>
      <w:color w:val="BE830E" w:themeColor="accent1"/>
    </w:rPr>
  </w:style>
  <w:style w:type="character" w:customStyle="1" w:styleId="IntenseQuoteChar">
    <w:name w:val="Intense Quote Char"/>
    <w:basedOn w:val="DefaultParagraphFont"/>
    <w:link w:val="IntenseQuote"/>
    <w:uiPriority w:val="30"/>
    <w:rsid w:val="00871D59"/>
    <w:rPr>
      <w:i/>
      <w:iCs/>
      <w:color w:val="BE830E" w:themeColor="accent1"/>
    </w:rPr>
  </w:style>
  <w:style w:type="character" w:styleId="SubtleReference">
    <w:name w:val="Subtle Reference"/>
    <w:basedOn w:val="DefaultParagraphFont"/>
    <w:uiPriority w:val="31"/>
    <w:qFormat/>
    <w:rsid w:val="00871D59"/>
    <w:rPr>
      <w:smallCaps/>
      <w:color w:val="auto"/>
    </w:rPr>
  </w:style>
  <w:style w:type="character" w:styleId="IntenseReference">
    <w:name w:val="Intense Reference"/>
    <w:basedOn w:val="DefaultParagraphFont"/>
    <w:uiPriority w:val="32"/>
    <w:qFormat/>
    <w:rsid w:val="00871D59"/>
    <w:rPr>
      <w:b/>
      <w:bCs/>
      <w:smallCaps/>
      <w:color w:val="BE830E" w:themeColor="accent1"/>
      <w:spacing w:val="5"/>
    </w:rPr>
  </w:style>
  <w:style w:type="character" w:styleId="BookTitle">
    <w:name w:val="Book Title"/>
    <w:basedOn w:val="DefaultParagraphFont"/>
    <w:uiPriority w:val="33"/>
    <w:qFormat/>
    <w:rsid w:val="00871D59"/>
    <w:rPr>
      <w:b/>
      <w:bCs/>
      <w:i/>
      <w:iCs/>
      <w:spacing w:val="5"/>
    </w:rPr>
  </w:style>
  <w:style w:type="paragraph" w:styleId="ListParagraph">
    <w:name w:val="List Paragraph"/>
    <w:basedOn w:val="Normal"/>
    <w:uiPriority w:val="34"/>
    <w:qFormat/>
    <w:rsid w:val="00871D59"/>
    <w:pPr>
      <w:ind w:left="720"/>
      <w:contextualSpacing/>
    </w:pPr>
  </w:style>
  <w:style w:type="character" w:styleId="PageNumber">
    <w:name w:val="page number"/>
    <w:basedOn w:val="DefaultParagraphFont"/>
    <w:uiPriority w:val="99"/>
    <w:semiHidden/>
    <w:unhideWhenUsed/>
    <w:rsid w:val="006B25A8"/>
  </w:style>
  <w:style w:type="paragraph" w:styleId="BalloonText">
    <w:name w:val="Balloon Text"/>
    <w:basedOn w:val="Normal"/>
    <w:link w:val="BalloonTextChar"/>
    <w:uiPriority w:val="99"/>
    <w:semiHidden/>
    <w:unhideWhenUsed/>
    <w:rsid w:val="0058680D"/>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80D"/>
    <w:rPr>
      <w:rFonts w:ascii="Times New Roman" w:hAnsi="Times New Roman" w:cs="Times New Roman"/>
      <w:sz w:val="18"/>
      <w:szCs w:val="18"/>
    </w:rPr>
  </w:style>
  <w:style w:type="paragraph" w:styleId="TOC1">
    <w:name w:val="toc 1"/>
    <w:basedOn w:val="Normal"/>
    <w:next w:val="Normal"/>
    <w:autoRedefine/>
    <w:uiPriority w:val="39"/>
    <w:unhideWhenUsed/>
    <w:rsid w:val="00C26273"/>
    <w:pPr>
      <w:spacing w:after="100" w:line="312" w:lineRule="auto"/>
    </w:pPr>
    <w:rPr>
      <w:sz w:val="24"/>
    </w:rPr>
  </w:style>
  <w:style w:type="paragraph" w:styleId="TOC2">
    <w:name w:val="toc 2"/>
    <w:basedOn w:val="Normal"/>
    <w:next w:val="Normal"/>
    <w:autoRedefine/>
    <w:uiPriority w:val="39"/>
    <w:unhideWhenUsed/>
    <w:rsid w:val="00C26273"/>
    <w:pPr>
      <w:spacing w:after="100" w:line="312" w:lineRule="auto"/>
      <w:ind w:left="200"/>
    </w:pPr>
    <w:rPr>
      <w:sz w:val="24"/>
    </w:rPr>
  </w:style>
  <w:style w:type="paragraph" w:styleId="TOC3">
    <w:name w:val="toc 3"/>
    <w:basedOn w:val="Normal"/>
    <w:next w:val="Normal"/>
    <w:autoRedefine/>
    <w:uiPriority w:val="39"/>
    <w:unhideWhenUsed/>
    <w:rsid w:val="00C26273"/>
    <w:pPr>
      <w:spacing w:after="100" w:line="312" w:lineRule="auto"/>
      <w:ind w:left="400"/>
    </w:pPr>
    <w:rPr>
      <w:sz w:val="24"/>
    </w:rPr>
  </w:style>
  <w:style w:type="paragraph" w:styleId="Caption">
    <w:name w:val="caption"/>
    <w:basedOn w:val="Normal"/>
    <w:next w:val="Normal"/>
    <w:uiPriority w:val="35"/>
    <w:unhideWhenUsed/>
    <w:qFormat/>
    <w:rsid w:val="00C26273"/>
    <w:pPr>
      <w:spacing w:after="120" w:line="240" w:lineRule="auto"/>
    </w:pPr>
    <w:rPr>
      <w:iCs/>
      <w:color w:val="000000" w:themeColor="text1"/>
      <w:sz w:val="18"/>
      <w:szCs w:val="18"/>
    </w:rPr>
  </w:style>
  <w:style w:type="table" w:customStyle="1" w:styleId="ANUrowcolumnheader">
    <w:name w:val="ANU row/column header"/>
    <w:basedOn w:val="TableNormal"/>
    <w:uiPriority w:val="99"/>
    <w:rsid w:val="00C2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b/>
      </w:rPr>
      <w:tblPr/>
      <w:tcPr>
        <w:shd w:val="clear" w:color="auto" w:fill="F6D28C" w:themeFill="accent1" w:themeFillTint="66"/>
      </w:tcPr>
    </w:tblStylePr>
    <w:tblStylePr w:type="firstCol">
      <w:rPr>
        <w:b/>
      </w:rPr>
      <w:tblPr/>
      <w:tcPr>
        <w:shd w:val="clear" w:color="auto" w:fill="F6D28C" w:themeFill="accent1" w:themeFillTint="66"/>
      </w:tcPr>
    </w:tblStylePr>
  </w:style>
  <w:style w:type="table" w:styleId="TableGrid">
    <w:name w:val="Table Grid"/>
    <w:basedOn w:val="TableNormal"/>
    <w:uiPriority w:val="3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columnheader">
    <w:name w:val="ANU column header"/>
    <w:basedOn w:val="TableNormal"/>
    <w:uiPriority w:val="99"/>
    <w:rsid w:val="008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b/>
      </w:rPr>
      <w:tblPr/>
      <w:tcPr>
        <w:shd w:val="clear" w:color="auto" w:fill="F6D28C" w:themeFill="accent1" w:themeFillTint="66"/>
      </w:tcPr>
    </w:tblStylePr>
  </w:style>
  <w:style w:type="paragraph" w:customStyle="1" w:styleId="Numberedsectionheading">
    <w:name w:val="Numbered section heading"/>
    <w:basedOn w:val="Heading1"/>
    <w:link w:val="NumberedsectionheadingChar"/>
    <w:qFormat/>
    <w:rsid w:val="007C3211"/>
    <w:pPr>
      <w:numPr>
        <w:numId w:val="2"/>
      </w:numPr>
      <w:tabs>
        <w:tab w:val="left" w:pos="1304"/>
      </w:tabs>
      <w:spacing w:line="312" w:lineRule="auto"/>
    </w:pPr>
  </w:style>
  <w:style w:type="character" w:customStyle="1" w:styleId="Heading8Char">
    <w:name w:val="Heading 8 Char"/>
    <w:basedOn w:val="DefaultParagraphFont"/>
    <w:link w:val="Heading8"/>
    <w:uiPriority w:val="9"/>
    <w:semiHidden/>
    <w:rsid w:val="001D7D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7D2F"/>
    <w:rPr>
      <w:rFonts w:asciiTheme="majorHAnsi" w:eastAsiaTheme="majorEastAsia" w:hAnsiTheme="majorHAnsi" w:cstheme="majorBidi"/>
      <w:i/>
      <w:iCs/>
      <w:color w:val="272727" w:themeColor="text1" w:themeTint="D8"/>
      <w:sz w:val="21"/>
      <w:szCs w:val="21"/>
    </w:rPr>
  </w:style>
  <w:style w:type="character" w:customStyle="1" w:styleId="NumberedsectionheadingChar">
    <w:name w:val="Numbered section heading Char"/>
    <w:basedOn w:val="Heading1Char"/>
    <w:link w:val="Numberedsectionheading"/>
    <w:rsid w:val="001D7D2F"/>
    <w:rPr>
      <w:rFonts w:asciiTheme="majorHAnsi" w:eastAsiaTheme="majorEastAsia" w:hAnsiTheme="majorHAnsi" w:cs="Times New Roman (Headings CS)"/>
      <w:color w:val="000000" w:themeColor="text1"/>
      <w:sz w:val="36"/>
      <w:szCs w:val="32"/>
    </w:rPr>
  </w:style>
  <w:style w:type="paragraph" w:customStyle="1" w:styleId="Numbereditemtitle">
    <w:name w:val="Numbered item title"/>
    <w:basedOn w:val="Heading2"/>
    <w:link w:val="NumbereditemtitleChar"/>
    <w:qFormat/>
    <w:rsid w:val="00245D3F"/>
  </w:style>
  <w:style w:type="character" w:customStyle="1" w:styleId="NumbereditemtitleChar">
    <w:name w:val="Numbered item title Char"/>
    <w:basedOn w:val="Heading2Char"/>
    <w:link w:val="Numbereditemtitle"/>
    <w:rsid w:val="00B76E47"/>
    <w:rPr>
      <w:rFonts w:asciiTheme="majorHAnsi" w:eastAsiaTheme="majorEastAsia" w:hAnsiTheme="majorHAnsi" w:cstheme="majorBidi"/>
      <w:color w:val="000000" w:themeColor="text1"/>
      <w:sz w:val="28"/>
      <w:szCs w:val="26"/>
    </w:rPr>
  </w:style>
  <w:style w:type="character" w:styleId="CommentReference">
    <w:name w:val="annotation reference"/>
    <w:basedOn w:val="DefaultParagraphFont"/>
    <w:uiPriority w:val="99"/>
    <w:semiHidden/>
    <w:unhideWhenUsed/>
    <w:rsid w:val="008A2813"/>
    <w:rPr>
      <w:sz w:val="16"/>
      <w:szCs w:val="16"/>
    </w:rPr>
  </w:style>
  <w:style w:type="paragraph" w:styleId="FootnoteText">
    <w:name w:val="footnote text"/>
    <w:basedOn w:val="Normal"/>
    <w:link w:val="FootnoteTextChar"/>
    <w:uiPriority w:val="99"/>
    <w:semiHidden/>
    <w:unhideWhenUsed/>
    <w:rsid w:val="008A2813"/>
    <w:pPr>
      <w:spacing w:before="0" w:line="240" w:lineRule="auto"/>
    </w:pPr>
    <w:rPr>
      <w:szCs w:val="20"/>
    </w:rPr>
  </w:style>
  <w:style w:type="character" w:customStyle="1" w:styleId="FootnoteTextChar">
    <w:name w:val="Footnote Text Char"/>
    <w:basedOn w:val="DefaultParagraphFont"/>
    <w:link w:val="FootnoteText"/>
    <w:uiPriority w:val="99"/>
    <w:semiHidden/>
    <w:rsid w:val="008A2813"/>
    <w:rPr>
      <w:sz w:val="20"/>
      <w:szCs w:val="20"/>
    </w:rPr>
  </w:style>
  <w:style w:type="character" w:styleId="FootnoteReference">
    <w:name w:val="footnote reference"/>
    <w:basedOn w:val="DefaultParagraphFont"/>
    <w:uiPriority w:val="99"/>
    <w:semiHidden/>
    <w:unhideWhenUsed/>
    <w:rsid w:val="008A2813"/>
    <w:rPr>
      <w:vertAlign w:val="superscript"/>
    </w:rPr>
  </w:style>
  <w:style w:type="character" w:customStyle="1" w:styleId="UnresolvedMention">
    <w:name w:val="Unresolved Mention"/>
    <w:basedOn w:val="DefaultParagraphFont"/>
    <w:uiPriority w:val="99"/>
    <w:semiHidden/>
    <w:unhideWhenUsed/>
    <w:rsid w:val="008A2813"/>
    <w:rPr>
      <w:color w:val="605E5C"/>
      <w:shd w:val="clear" w:color="auto" w:fill="E1DFDD"/>
    </w:rPr>
  </w:style>
  <w:style w:type="paragraph" w:styleId="CommentText">
    <w:name w:val="annotation text"/>
    <w:basedOn w:val="Normal"/>
    <w:link w:val="CommentTextChar"/>
    <w:uiPriority w:val="99"/>
    <w:semiHidden/>
    <w:unhideWhenUsed/>
    <w:rsid w:val="00FB37A3"/>
    <w:pPr>
      <w:spacing w:line="240" w:lineRule="auto"/>
    </w:pPr>
    <w:rPr>
      <w:szCs w:val="20"/>
    </w:rPr>
  </w:style>
  <w:style w:type="character" w:customStyle="1" w:styleId="CommentTextChar">
    <w:name w:val="Comment Text Char"/>
    <w:basedOn w:val="DefaultParagraphFont"/>
    <w:link w:val="CommentText"/>
    <w:uiPriority w:val="99"/>
    <w:semiHidden/>
    <w:rsid w:val="00FB37A3"/>
    <w:rPr>
      <w:sz w:val="20"/>
      <w:szCs w:val="20"/>
    </w:rPr>
  </w:style>
  <w:style w:type="paragraph" w:styleId="CommentSubject">
    <w:name w:val="annotation subject"/>
    <w:basedOn w:val="CommentText"/>
    <w:next w:val="CommentText"/>
    <w:link w:val="CommentSubjectChar"/>
    <w:uiPriority w:val="99"/>
    <w:semiHidden/>
    <w:unhideWhenUsed/>
    <w:rsid w:val="00FB37A3"/>
    <w:rPr>
      <w:b/>
      <w:bCs/>
    </w:rPr>
  </w:style>
  <w:style w:type="character" w:customStyle="1" w:styleId="CommentSubjectChar">
    <w:name w:val="Comment Subject Char"/>
    <w:basedOn w:val="CommentTextChar"/>
    <w:link w:val="CommentSubject"/>
    <w:uiPriority w:val="99"/>
    <w:semiHidden/>
    <w:rsid w:val="00FB37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dy.Putt@anu.edu.au" TargetMode="External"/><Relationship Id="rId18" Type="http://schemas.openxmlformats.org/officeDocument/2006/relationships/hyperlink" Target="http://dpa.bellschool.anu.edu.au/experts-publications/publications/7648/reporting-investigating-and-prosecuting-family-and-sexual" TargetMode="External"/><Relationship Id="rId26" Type="http://schemas.openxmlformats.org/officeDocument/2006/relationships/hyperlink" Target="http://dpa.bellschool.anu.edu.au/experts-publications/publications/7978/family-protection-orders-papua-new-guinea-summary-report"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dpa.bellschool.anu.edu.au/experts-publications/publications/7533/ib-202009-emergency-toll-free-telephone-services-part-2" TargetMode="External"/><Relationship Id="rId34" Type="http://schemas.openxmlformats.org/officeDocument/2006/relationships/hyperlink" Target="https://devpolicy.org/do-protection-orders-make-png-women-safer-20210309/"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nu.edu.au" TargetMode="External"/><Relationship Id="rId17" Type="http://schemas.openxmlformats.org/officeDocument/2006/relationships/hyperlink" Target="http://dpa.bellschool.anu.edu.au/experts-publications/publications/7751/ib-202023-sexual-violence-against-children-papua-new-guinea" TargetMode="External"/><Relationship Id="rId25" Type="http://schemas.openxmlformats.org/officeDocument/2006/relationships/hyperlink" Target="http://dpa.bellschool.anu.edu.au/experts-publications/publications/7977/family-protection-orders-papua-new-guinea-main-report" TargetMode="External"/><Relationship Id="rId33" Type="http://schemas.openxmlformats.org/officeDocument/2006/relationships/hyperlink" Target="http://dpa.bellschool.anu.edu.au/experts-publications/publications/6706/ib-201902-family-protection-orders-lae-papua-new-guinea-part" TargetMode="External"/><Relationship Id="rId38" Type="http://schemas.openxmlformats.org/officeDocument/2006/relationships/hyperlink" Target="https://www.youtube.com/playlist?list=PLV6RuTP9szr-vudxdICls_oAB8FAL25bc" TargetMode="External"/><Relationship Id="rId2" Type="http://schemas.openxmlformats.org/officeDocument/2006/relationships/customXml" Target="../customXml/item2.xml"/><Relationship Id="rId16" Type="http://schemas.openxmlformats.org/officeDocument/2006/relationships/hyperlink" Target="http://dpa.bellschool.anu.edu.au/experts-publications/publications/8047/helping-family-and-sexual-violence-survivors-papua-new-guinea" TargetMode="External"/><Relationship Id="rId20" Type="http://schemas.openxmlformats.org/officeDocument/2006/relationships/hyperlink" Target="http://dpa.bellschool.anu.edu.au/experts-publications/publications/7532/ib-202008-emergency-toll-free-telephone-services-part-1" TargetMode="External"/><Relationship Id="rId29" Type="http://schemas.openxmlformats.org/officeDocument/2006/relationships/hyperlink" Target="http://dpa.bellschool.anu.edu.au/experts-publications/publications/7975/domestic-violence-law-and-related-services-papua-new-guinea"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y.Putt@anu.edu.au" TargetMode="External"/><Relationship Id="rId24" Type="http://schemas.openxmlformats.org/officeDocument/2006/relationships/hyperlink" Target="https://devpolicy.org/emergency-telephone-services-part-one-challenging-contexts-20201009/" TargetMode="External"/><Relationship Id="rId32" Type="http://schemas.openxmlformats.org/officeDocument/2006/relationships/hyperlink" Target="http://dpa.bellschool.anu.edu.au/experts-publications/publications/6707/ib-201903-family-protection-orders-lae-papua-new-guinea-part" TargetMode="External"/><Relationship Id="rId37" Type="http://schemas.openxmlformats.org/officeDocument/2006/relationships/hyperlink" Target="https://www.policyforum.net/protecting-domestic-violence-survivors-in-png/"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dpa.bellschool.anu.edu.au/experts-publications/publications/8035/ib-202115-domestic-violence-papua-new-guinea-case-study" TargetMode="External"/><Relationship Id="rId23" Type="http://schemas.openxmlformats.org/officeDocument/2006/relationships/hyperlink" Target="https://devpolicy.org/emergency-phone-services-part-two-the-police-in-papua-new-guinea-20201013/" TargetMode="External"/><Relationship Id="rId28" Type="http://schemas.openxmlformats.org/officeDocument/2006/relationships/hyperlink" Target="http://dpa.bellschool.anu.edu.au/experts-publications/publications/7974/domestic-violence-and-family-law-papua-new-guinea" TargetMode="External"/><Relationship Id="rId36" Type="http://schemas.openxmlformats.org/officeDocument/2006/relationships/hyperlink" Target="https://www.policyforum.net/domestic-violence-and-the-need-for-criminal-justice-reform-in-png/"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dpa.bellschool.anu.edu.au/sites/default/files/publications/attachments/2020-06/dpa_fsv_report_2020_additional_data_final_25_june_no_bleed_smallfile.pdf" TargetMode="External"/><Relationship Id="rId31" Type="http://schemas.openxmlformats.org/officeDocument/2006/relationships/hyperlink" Target="http://dpa.bellschool.anu.edu.au/experts-publications/publications/6708/ib-201904-family-protection-orders-lae-papua-new-guinea-par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u.edu.au" TargetMode="External"/><Relationship Id="rId22" Type="http://schemas.openxmlformats.org/officeDocument/2006/relationships/hyperlink" Target="https://devpolicy.org/sexual-violence-against-children-in-papua-new-guinea-what-the-criminal-justice-data-tells-us-20201030-1/" TargetMode="External"/><Relationship Id="rId27" Type="http://schemas.openxmlformats.org/officeDocument/2006/relationships/hyperlink" Target="http://dpa.bellschool.anu.edu.au/experts-publications/publications/7973/family-protection-orders-court-processes-papua-new-guinea" TargetMode="External"/><Relationship Id="rId30" Type="http://schemas.openxmlformats.org/officeDocument/2006/relationships/hyperlink" Target="http://dpa.bellschool.anu.edu.au/experts-publications/publications/6711/family-protection-orders-png-research-report-pilot-study-lae" TargetMode="External"/><Relationship Id="rId35" Type="http://schemas.openxmlformats.org/officeDocument/2006/relationships/hyperlink" Target="https://devpolicy.org/family-protection-orders-in-lae-positive-signs-20181122/" TargetMode="External"/><Relationship Id="rId43" Type="http://schemas.openxmlformats.org/officeDocument/2006/relationships/fontTable" Target="fontTable.xml"/><Relationship Id="rId48"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anu365.sharepoint.com/sites/ANUidentityHUB/Shared%20Documents/Templates/Microsoft%20Office%20Templates/Word-Report-Template%202021.dotx" TargetMode="External"/></Relationships>
</file>

<file path=word/theme/theme1.xml><?xml version="1.0" encoding="utf-8"?>
<a:theme xmlns:a="http://schemas.openxmlformats.org/drawingml/2006/main" name="ANU Light">
  <a:themeElements>
    <a:clrScheme name="ANU">
      <a:dk1>
        <a:sysClr val="windowText" lastClr="000000"/>
      </a:dk1>
      <a:lt1>
        <a:sysClr val="window" lastClr="FFFFFF"/>
      </a:lt1>
      <a:dk2>
        <a:srgbClr val="000000"/>
      </a:dk2>
      <a:lt2>
        <a:srgbClr val="FFFFFF"/>
      </a:lt2>
      <a:accent1>
        <a:srgbClr val="BE830E"/>
      </a:accent1>
      <a:accent2>
        <a:srgbClr val="DFC187"/>
      </a:accent2>
      <a:accent3>
        <a:srgbClr val="F5EDDE"/>
      </a:accent3>
      <a:accent4>
        <a:srgbClr val="BE4E0E"/>
      </a:accent4>
      <a:accent5>
        <a:srgbClr val="CB7352"/>
      </a:accent5>
      <a:accent6>
        <a:srgbClr val="F2DCD4"/>
      </a:accent6>
      <a:hlink>
        <a:srgbClr val="BE830E"/>
      </a:hlink>
      <a:folHlink>
        <a:srgbClr val="BE4E0E"/>
      </a:folHlink>
    </a:clrScheme>
    <a:fontScheme name="ANU">
      <a:majorFont>
        <a:latin typeface="Public Sans"/>
        <a:ea typeface=""/>
        <a:cs typeface=""/>
      </a:majorFont>
      <a:minorFont>
        <a:latin typeface="Public Sans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NU Light" id="{D6110B67-1046-5445-B2D7-264C31C5A8B7}" vid="{3BC23ECF-AE84-C44D-AD25-3250A919A4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009AC5283E95468D41B3B02A942082" ma:contentTypeVersion="14" ma:contentTypeDescription="Create a new document." ma:contentTypeScope="" ma:versionID="81f047ee36f5309b78b9ab5df6d40fa9">
  <xsd:schema xmlns:xsd="http://www.w3.org/2001/XMLSchema" xmlns:xs="http://www.w3.org/2001/XMLSchema" xmlns:p="http://schemas.microsoft.com/office/2006/metadata/properties" xmlns:ns2="2906fbf8-e47d-4c21-be87-cb09cf1c70cb" xmlns:ns3="cd7196b5-af4d-4b5a-ba66-d723b2d8b01e" targetNamespace="http://schemas.microsoft.com/office/2006/metadata/properties" ma:root="true" ma:fieldsID="f77ccc56e2633edc0902f4eefe5b9336" ns2:_="" ns3:_="">
    <xsd:import namespace="2906fbf8-e47d-4c21-be87-cb09cf1c70cb"/>
    <xsd:import namespace="cd7196b5-af4d-4b5a-ba66-d723b2d8b01e"/>
    <xsd:element name="properties">
      <xsd:complexType>
        <xsd:sequence>
          <xsd:element name="documentManagement">
            <xsd:complexType>
              <xsd:all>
                <xsd:element ref="ns2:MediaServiceMetadata" minOccurs="0"/>
                <xsd:element ref="ns2:MediaServiceFastMetadata" minOccurs="0"/>
                <xsd:element ref="ns2:FAQs"/>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cument_x0020_Notes"/>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fbf8-e47d-4c21-be87-cb09cf1c7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AQs" ma:index="10" ma:displayName="FAQs" ma:internalName="FAQs">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_x0020_Notes" ma:index="18" ma:displayName="IMPORTANT" ma:description="DO NOT EDIT. DOWNLOAD FIRST" ma:format="Dropdown" ma:internalName="Document_x0020_Note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7196b5-af4d-4b5a-ba66-d723b2d8b0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Notes xmlns="2906fbf8-e47d-4c21-be87-cb09cf1c70cb"/>
    <FAQs xmlns="2906fbf8-e47d-4c21-be87-cb09cf1c70c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E1FCC-0FF7-4C46-A1C1-4A9F98809324}">
  <ds:schemaRefs>
    <ds:schemaRef ds:uri="http://schemas.microsoft.com/sharepoint/v3/contenttype/forms"/>
  </ds:schemaRefs>
</ds:datastoreItem>
</file>

<file path=customXml/itemProps2.xml><?xml version="1.0" encoding="utf-8"?>
<ds:datastoreItem xmlns:ds="http://schemas.openxmlformats.org/officeDocument/2006/customXml" ds:itemID="{D518A78C-FEBB-4637-A5BF-2B0D7DF79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6fbf8-e47d-4c21-be87-cb09cf1c70cb"/>
    <ds:schemaRef ds:uri="cd7196b5-af4d-4b5a-ba66-d723b2d8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B0256-7793-4B93-B552-96F9B8E61DF3}">
  <ds:schemaRefs>
    <ds:schemaRef ds:uri="http://schemas.microsoft.com/office/2006/metadata/properties"/>
    <ds:schemaRef ds:uri="http://schemas.microsoft.com/office/infopath/2007/PartnerControls"/>
    <ds:schemaRef ds:uri="2906fbf8-e47d-4c21-be87-cb09cf1c70cb"/>
  </ds:schemaRefs>
</ds:datastoreItem>
</file>

<file path=customXml/itemProps4.xml><?xml version="1.0" encoding="utf-8"?>
<ds:datastoreItem xmlns:ds="http://schemas.openxmlformats.org/officeDocument/2006/customXml" ds:itemID="{6D3D6720-CD33-4E70-8DE9-C77FDAEE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Word-Report-Template%202021</Template>
  <TotalTime>23</TotalTime>
  <Pages>14</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Judy Putt</cp:lastModifiedBy>
  <cp:revision>13</cp:revision>
  <cp:lastPrinted>2021-06-30T03:35:00Z</cp:lastPrinted>
  <dcterms:created xsi:type="dcterms:W3CDTF">2021-06-30T03:28:00Z</dcterms:created>
  <dcterms:modified xsi:type="dcterms:W3CDTF">2021-06-30T05:10:00Z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0x010100EF009AC5283E95468D41B3B02A942082</vt:lpwstr>
  </property>
</Properties>
</file>